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C24F2" w14:textId="2A7EF62E" w:rsidR="001971D2" w:rsidRDefault="00461590" w:rsidP="001971D2">
      <w:pPr>
        <w:spacing w:before="240"/>
        <w:jc w:val="center"/>
        <w:rPr>
          <w:rFonts w:ascii="Times New Roman" w:hAnsi="Times New Roman" w:cs="Times New Roman"/>
          <w:b/>
          <w:sz w:val="28"/>
          <w:szCs w:val="28"/>
          <w:u w:val="single"/>
        </w:rPr>
      </w:pPr>
      <w:r>
        <w:rPr>
          <w:rFonts w:ascii="Times New Roman" w:hAnsi="Times New Roman" w:cs="Times New Roman"/>
          <w:b/>
          <w:sz w:val="28"/>
          <w:szCs w:val="28"/>
          <w:u w:val="single"/>
        </w:rPr>
        <w:t>М</w:t>
      </w:r>
      <w:r w:rsidR="001971D2">
        <w:rPr>
          <w:rFonts w:ascii="Times New Roman" w:hAnsi="Times New Roman" w:cs="Times New Roman"/>
          <w:b/>
          <w:sz w:val="28"/>
          <w:szCs w:val="28"/>
          <w:u w:val="single"/>
        </w:rPr>
        <w:t>еры поддержки участников российского рынка бункеровки судов</w:t>
      </w:r>
    </w:p>
    <w:p w14:paraId="0540920C" w14:textId="3275017A" w:rsidR="00871E9A" w:rsidRPr="008C42C2" w:rsidRDefault="00871E9A" w:rsidP="00871E9A">
      <w:pPr>
        <w:pStyle w:val="228bf8a64b8551e1msonormal"/>
        <w:shd w:val="clear" w:color="auto" w:fill="FFFFFF"/>
        <w:spacing w:before="0" w:beforeAutospacing="0" w:after="0" w:afterAutospacing="0" w:line="276" w:lineRule="auto"/>
        <w:ind w:firstLine="708"/>
        <w:jc w:val="both"/>
        <w:rPr>
          <w:color w:val="000000"/>
          <w:sz w:val="25"/>
          <w:szCs w:val="25"/>
        </w:rPr>
      </w:pPr>
      <w:r w:rsidRPr="008C42C2">
        <w:rPr>
          <w:color w:val="000000"/>
          <w:sz w:val="25"/>
          <w:szCs w:val="25"/>
        </w:rPr>
        <w:t xml:space="preserve">При анализе причин  значительного роста цен на </w:t>
      </w:r>
      <w:proofErr w:type="spellStart"/>
      <w:r w:rsidRPr="008C42C2">
        <w:rPr>
          <w:color w:val="000000"/>
          <w:sz w:val="25"/>
          <w:szCs w:val="25"/>
        </w:rPr>
        <w:t>низкосернистое</w:t>
      </w:r>
      <w:proofErr w:type="spellEnd"/>
      <w:r w:rsidRPr="008C42C2">
        <w:rPr>
          <w:color w:val="000000"/>
          <w:sz w:val="25"/>
          <w:szCs w:val="25"/>
        </w:rPr>
        <w:t xml:space="preserve"> судовое топливо в 2021 году и проявившейся тенденции по значительному сокращению предложения </w:t>
      </w:r>
      <w:proofErr w:type="spellStart"/>
      <w:r w:rsidRPr="008C42C2">
        <w:rPr>
          <w:color w:val="000000"/>
          <w:sz w:val="25"/>
          <w:szCs w:val="25"/>
        </w:rPr>
        <w:t>низкосернистого</w:t>
      </w:r>
      <w:proofErr w:type="spellEnd"/>
      <w:r w:rsidRPr="008C42C2">
        <w:rPr>
          <w:color w:val="000000"/>
          <w:sz w:val="25"/>
          <w:szCs w:val="25"/>
        </w:rPr>
        <w:t xml:space="preserve"> судового топлива на российском рынке бункеровки судов на фоне восстановления деловой активности по мере выхода из ограничений, продиктованных пандемией вируса </w:t>
      </w:r>
      <w:r w:rsidRPr="008C42C2">
        <w:rPr>
          <w:color w:val="000000"/>
          <w:sz w:val="25"/>
          <w:szCs w:val="25"/>
          <w:lang w:val="en-US"/>
        </w:rPr>
        <w:t>COVID</w:t>
      </w:r>
      <w:r w:rsidRPr="008C42C2">
        <w:rPr>
          <w:color w:val="000000"/>
          <w:sz w:val="25"/>
          <w:szCs w:val="25"/>
        </w:rPr>
        <w:t xml:space="preserve">-19, стоит прежде всего иметь ввиду, что судовое (бункерное) топливо представляет из себя как минимум 11 (одиннадцать) типов судовых топливных смесей, особенности состава каждой из которых обусловлены конструктивными особенностями и потребностью силовых установок существующих водных судов и именно по причине такого многообразия спроса производителям судового топлива, как правило, нерентабельно производить всю требующуюся судовладельцам линейку типов судового топлива. </w:t>
      </w:r>
    </w:p>
    <w:p w14:paraId="192F8DBC" w14:textId="0017960F" w:rsidR="00871E9A" w:rsidRPr="008C42C2" w:rsidRDefault="00871E9A" w:rsidP="00871E9A">
      <w:pPr>
        <w:pStyle w:val="228bf8a64b8551e1msonormal"/>
        <w:shd w:val="clear" w:color="auto" w:fill="FFFFFF"/>
        <w:spacing w:before="0" w:beforeAutospacing="0" w:after="0" w:afterAutospacing="0" w:line="276" w:lineRule="auto"/>
        <w:ind w:firstLine="708"/>
        <w:jc w:val="both"/>
        <w:rPr>
          <w:color w:val="000000"/>
          <w:sz w:val="25"/>
          <w:szCs w:val="25"/>
        </w:rPr>
      </w:pPr>
      <w:r w:rsidRPr="008C42C2">
        <w:rPr>
          <w:color w:val="000000"/>
          <w:sz w:val="25"/>
          <w:szCs w:val="25"/>
        </w:rPr>
        <w:t>Важно также учитывать, что в 2020</w:t>
      </w:r>
      <w:r>
        <w:rPr>
          <w:color w:val="000000"/>
          <w:sz w:val="25"/>
          <w:szCs w:val="25"/>
        </w:rPr>
        <w:t xml:space="preserve">, 2021 годах и </w:t>
      </w:r>
      <w:r w:rsidRPr="008C42C2">
        <w:rPr>
          <w:color w:val="000000"/>
          <w:sz w:val="25"/>
          <w:szCs w:val="25"/>
        </w:rPr>
        <w:t>за прошедший период 202</w:t>
      </w:r>
      <w:r>
        <w:rPr>
          <w:color w:val="000000"/>
          <w:sz w:val="25"/>
          <w:szCs w:val="25"/>
        </w:rPr>
        <w:t>2</w:t>
      </w:r>
      <w:r w:rsidRPr="008C42C2">
        <w:rPr>
          <w:color w:val="000000"/>
          <w:sz w:val="25"/>
          <w:szCs w:val="25"/>
        </w:rPr>
        <w:t xml:space="preserve"> года </w:t>
      </w:r>
      <w:proofErr w:type="spellStart"/>
      <w:r w:rsidRPr="008C42C2">
        <w:rPr>
          <w:color w:val="000000"/>
          <w:sz w:val="25"/>
          <w:szCs w:val="25"/>
        </w:rPr>
        <w:t>низкосернистое</w:t>
      </w:r>
      <w:proofErr w:type="spellEnd"/>
      <w:r w:rsidRPr="008C42C2">
        <w:rPr>
          <w:color w:val="000000"/>
          <w:sz w:val="25"/>
          <w:szCs w:val="25"/>
        </w:rPr>
        <w:t xml:space="preserve"> судовое топливо практически не продавалось на существующих в Российской Федерации профильных биржевых площадках - Акционерное общество «Санкт-Петербургская Международная Товарно-сырьевая Биржа» </w:t>
      </w:r>
      <w:proofErr w:type="gramStart"/>
      <w:r w:rsidRPr="008C42C2">
        <w:rPr>
          <w:color w:val="000000"/>
          <w:sz w:val="25"/>
          <w:szCs w:val="25"/>
        </w:rPr>
        <w:t>и  Акционерное</w:t>
      </w:r>
      <w:proofErr w:type="gramEnd"/>
      <w:r w:rsidRPr="008C42C2">
        <w:rPr>
          <w:color w:val="000000"/>
          <w:sz w:val="25"/>
          <w:szCs w:val="25"/>
        </w:rPr>
        <w:t xml:space="preserve"> общество «Биржа «Санкт-Петербург» (копии писем с ответами указанных бирж на запрос Саморегулируемой организацией «Российская Ассоциация Морских и Речных Бункеровщиков» (далее – Ассоциация) </w:t>
      </w:r>
      <w:r>
        <w:rPr>
          <w:color w:val="000000"/>
          <w:sz w:val="25"/>
          <w:szCs w:val="25"/>
        </w:rPr>
        <w:t>имеются</w:t>
      </w:r>
      <w:r w:rsidRPr="008C42C2">
        <w:rPr>
          <w:color w:val="000000"/>
          <w:sz w:val="25"/>
          <w:szCs w:val="25"/>
        </w:rPr>
        <w:t xml:space="preserve">).  </w:t>
      </w:r>
    </w:p>
    <w:p w14:paraId="505D21B0" w14:textId="4F441A92" w:rsidR="00871E9A" w:rsidRPr="008C42C2" w:rsidRDefault="00871E9A" w:rsidP="00871E9A">
      <w:pPr>
        <w:pStyle w:val="228bf8a64b8551e1msonormal"/>
        <w:shd w:val="clear" w:color="auto" w:fill="FFFFFF"/>
        <w:spacing w:before="0" w:beforeAutospacing="0" w:after="0" w:afterAutospacing="0" w:line="276" w:lineRule="auto"/>
        <w:ind w:firstLine="708"/>
        <w:jc w:val="both"/>
        <w:rPr>
          <w:color w:val="000000"/>
          <w:sz w:val="25"/>
          <w:szCs w:val="25"/>
        </w:rPr>
      </w:pPr>
      <w:r w:rsidRPr="008C42C2">
        <w:rPr>
          <w:color w:val="000000"/>
          <w:sz w:val="25"/>
          <w:szCs w:val="25"/>
        </w:rPr>
        <w:t xml:space="preserve">Таким образом, значительная часть спроса как российских, так и иностранных судовладельцев в судовом топливе традиционно удовлетворяется поставщиками (бункеровочными компаниями) судовым топливом, полученным смешением  нефтепродуктов,  как с использованием специально предназначенных для этого установок (блендеров), так и без использования последних, при этом смешение зачастую происходит в местах хранения и(или) реализации топлива, что при определенных условиях указанных в пункте 3 статьи 182 </w:t>
      </w:r>
      <w:r w:rsidR="00E06195">
        <w:rPr>
          <w:color w:val="000000"/>
          <w:sz w:val="25"/>
          <w:szCs w:val="25"/>
        </w:rPr>
        <w:t xml:space="preserve">НК РФ </w:t>
      </w:r>
      <w:r w:rsidRPr="008C42C2">
        <w:rPr>
          <w:color w:val="000000"/>
          <w:sz w:val="25"/>
          <w:szCs w:val="25"/>
        </w:rPr>
        <w:t xml:space="preserve">не является производством и </w:t>
      </w:r>
      <w:r w:rsidRPr="00E06195">
        <w:rPr>
          <w:color w:val="000000"/>
          <w:sz w:val="25"/>
          <w:szCs w:val="25"/>
          <w:u w:val="single"/>
        </w:rPr>
        <w:t>акциз по данным операциям не исчисляется</w:t>
      </w:r>
      <w:r w:rsidRPr="008C42C2">
        <w:rPr>
          <w:color w:val="000000"/>
          <w:sz w:val="25"/>
          <w:szCs w:val="25"/>
        </w:rPr>
        <w:t>. По оценке Ассоциации доля продаваемого на российском рынке бункеровки судов судового топлива, полученного смешением, колеблется ориентировочно - от 30 до 40 процентов от общего количества продаваемого судового топлива.</w:t>
      </w:r>
    </w:p>
    <w:p w14:paraId="1FE24637" w14:textId="0C6F3CA3" w:rsidR="00871E9A" w:rsidRDefault="00871E9A" w:rsidP="00871E9A">
      <w:pPr>
        <w:pStyle w:val="228bf8a64b8551e1msonormal"/>
        <w:shd w:val="clear" w:color="auto" w:fill="FFFFFF"/>
        <w:spacing w:before="0" w:beforeAutospacing="0" w:after="0" w:afterAutospacing="0" w:line="276" w:lineRule="auto"/>
        <w:ind w:firstLine="708"/>
        <w:jc w:val="both"/>
        <w:rPr>
          <w:color w:val="000000"/>
          <w:sz w:val="25"/>
          <w:szCs w:val="25"/>
        </w:rPr>
      </w:pPr>
      <w:r w:rsidRPr="008C42C2">
        <w:rPr>
          <w:color w:val="000000"/>
          <w:sz w:val="25"/>
          <w:szCs w:val="25"/>
        </w:rPr>
        <w:t xml:space="preserve">При этом существенное влияние на итоговую цену судового топлива оказывает </w:t>
      </w:r>
      <w:proofErr w:type="gramStart"/>
      <w:r w:rsidRPr="008C42C2">
        <w:rPr>
          <w:color w:val="000000"/>
          <w:sz w:val="25"/>
          <w:szCs w:val="25"/>
        </w:rPr>
        <w:t>внутреннее  нормативное</w:t>
      </w:r>
      <w:proofErr w:type="gramEnd"/>
      <w:r w:rsidRPr="008C42C2">
        <w:rPr>
          <w:color w:val="000000"/>
          <w:sz w:val="25"/>
          <w:szCs w:val="25"/>
        </w:rPr>
        <w:t xml:space="preserve"> регулирование, и в том числе, порядок  налогообложения акцизом операций, с использованием  средних дистиллятов. Положениями федерального закона от 15.10.2020 № 321-ФЗ «О внесении изменений в часть вторую Налогового кодекса Российской Федерации в части введения обратного акциза на этан, сжиженные углеводородные газы и инвестиционного коэффициента, применяемого при определении размера обратного акциза на нефтяное сырье», были внесены изменения в определение «средних дистиллятов» в части требования по кинематической вязкости и содержания ароматических, непредельных и (или) кислородсодержащих соединений, фактического  исключения мазутных групп из состава средних дистиллятов.   Кроме того, законодатель внес существенные изменения в порядок администрирования акциза в </w:t>
      </w:r>
      <w:proofErr w:type="gramStart"/>
      <w:r w:rsidRPr="008C42C2">
        <w:rPr>
          <w:color w:val="000000"/>
          <w:sz w:val="25"/>
          <w:szCs w:val="25"/>
        </w:rPr>
        <w:t>части  применения</w:t>
      </w:r>
      <w:proofErr w:type="gramEnd"/>
      <w:r w:rsidRPr="008C42C2">
        <w:rPr>
          <w:color w:val="000000"/>
          <w:sz w:val="25"/>
          <w:szCs w:val="25"/>
        </w:rPr>
        <w:t xml:space="preserve"> вычетов. При этом, для получения вычета по акцизу при осуществлении </w:t>
      </w:r>
      <w:proofErr w:type="gramStart"/>
      <w:r w:rsidRPr="008C42C2">
        <w:rPr>
          <w:color w:val="000000"/>
          <w:sz w:val="25"/>
          <w:szCs w:val="25"/>
        </w:rPr>
        <w:t>операций  с</w:t>
      </w:r>
      <w:proofErr w:type="gramEnd"/>
      <w:r w:rsidRPr="008C42C2">
        <w:rPr>
          <w:color w:val="000000"/>
          <w:sz w:val="25"/>
          <w:szCs w:val="25"/>
        </w:rPr>
        <w:t xml:space="preserve"> использованием средних дистиллятов (</w:t>
      </w:r>
      <w:proofErr w:type="spellStart"/>
      <w:r w:rsidRPr="008C42C2">
        <w:rPr>
          <w:color w:val="000000"/>
          <w:sz w:val="25"/>
          <w:szCs w:val="25"/>
        </w:rPr>
        <w:t>пп</w:t>
      </w:r>
      <w:proofErr w:type="spellEnd"/>
      <w:r w:rsidRPr="008C42C2">
        <w:rPr>
          <w:color w:val="000000"/>
          <w:sz w:val="25"/>
          <w:szCs w:val="25"/>
        </w:rPr>
        <w:t>.</w:t>
      </w:r>
      <w:r w:rsidR="00E06195">
        <w:rPr>
          <w:color w:val="000000"/>
          <w:sz w:val="25"/>
          <w:szCs w:val="25"/>
        </w:rPr>
        <w:t xml:space="preserve"> </w:t>
      </w:r>
      <w:r w:rsidRPr="008C42C2">
        <w:rPr>
          <w:color w:val="000000"/>
          <w:sz w:val="25"/>
          <w:szCs w:val="25"/>
        </w:rPr>
        <w:t>29-31 п.</w:t>
      </w:r>
      <w:r w:rsidR="00E06195">
        <w:rPr>
          <w:color w:val="000000"/>
          <w:sz w:val="25"/>
          <w:szCs w:val="25"/>
        </w:rPr>
        <w:t xml:space="preserve"> </w:t>
      </w:r>
      <w:r w:rsidRPr="008C42C2">
        <w:rPr>
          <w:color w:val="000000"/>
          <w:sz w:val="25"/>
          <w:szCs w:val="25"/>
        </w:rPr>
        <w:t xml:space="preserve">1 статьи 182 НК РФ)  налогоплательщик обязан предоставить документы (договоры, счета-фактуры с выделенным акцизом)   от производителя среднего дистиллята. Т.е. в настоящее </w:t>
      </w:r>
      <w:proofErr w:type="gramStart"/>
      <w:r w:rsidRPr="008C42C2">
        <w:rPr>
          <w:color w:val="000000"/>
          <w:sz w:val="25"/>
          <w:szCs w:val="25"/>
        </w:rPr>
        <w:t>время,  право</w:t>
      </w:r>
      <w:proofErr w:type="gramEnd"/>
      <w:r w:rsidRPr="008C42C2">
        <w:rPr>
          <w:color w:val="000000"/>
          <w:sz w:val="25"/>
          <w:szCs w:val="25"/>
        </w:rPr>
        <w:t xml:space="preserve"> налогоплательщика на применение вычета по акцизу с коэффициентом 2  по </w:t>
      </w:r>
      <w:r w:rsidRPr="008C42C2">
        <w:rPr>
          <w:color w:val="000000"/>
          <w:sz w:val="25"/>
          <w:szCs w:val="25"/>
        </w:rPr>
        <w:lastRenderedPageBreak/>
        <w:t xml:space="preserve">операциям с судовым топливом, являющимся средним дистиллятом,  зависит от  происхождения среднего дистиллята и от желания производителя  предоставить  налогоплательщику необходимые документы.  Исходя из вышеизложенного, указанные поправки в НК РФ привели на практике к невозможности получения вычета по судовому топливу, полученному путем смешения, </w:t>
      </w:r>
      <w:proofErr w:type="gramStart"/>
      <w:r w:rsidRPr="008C42C2">
        <w:rPr>
          <w:color w:val="000000"/>
          <w:sz w:val="25"/>
          <w:szCs w:val="25"/>
        </w:rPr>
        <w:t>которое  фактически</w:t>
      </w:r>
      <w:proofErr w:type="gramEnd"/>
      <w:r w:rsidRPr="008C42C2">
        <w:rPr>
          <w:color w:val="000000"/>
          <w:sz w:val="25"/>
          <w:szCs w:val="25"/>
        </w:rPr>
        <w:t xml:space="preserve"> составляло и составляет существенную долю в общем объеме </w:t>
      </w:r>
      <w:proofErr w:type="spellStart"/>
      <w:r w:rsidRPr="008C42C2">
        <w:rPr>
          <w:color w:val="000000"/>
          <w:sz w:val="25"/>
          <w:szCs w:val="25"/>
        </w:rPr>
        <w:t>низкосернистого</w:t>
      </w:r>
      <w:proofErr w:type="spellEnd"/>
      <w:r w:rsidRPr="008C42C2">
        <w:rPr>
          <w:color w:val="000000"/>
          <w:sz w:val="25"/>
          <w:szCs w:val="25"/>
        </w:rPr>
        <w:t xml:space="preserve"> топлива на российском рынке. </w:t>
      </w:r>
    </w:p>
    <w:p w14:paraId="2275E5F1" w14:textId="58BE7462" w:rsidR="00E06195" w:rsidRPr="008C42C2" w:rsidRDefault="00E06195" w:rsidP="00871E9A">
      <w:pPr>
        <w:pStyle w:val="228bf8a64b8551e1msonormal"/>
        <w:shd w:val="clear" w:color="auto" w:fill="FFFFFF"/>
        <w:spacing w:before="0" w:beforeAutospacing="0" w:after="0" w:afterAutospacing="0" w:line="276" w:lineRule="auto"/>
        <w:ind w:firstLine="708"/>
        <w:jc w:val="both"/>
        <w:rPr>
          <w:color w:val="000000"/>
          <w:sz w:val="25"/>
          <w:szCs w:val="25"/>
        </w:rPr>
      </w:pPr>
      <w:r w:rsidRPr="00884716">
        <w:rPr>
          <w:color w:val="000000"/>
          <w:sz w:val="25"/>
          <w:szCs w:val="25"/>
        </w:rPr>
        <w:t xml:space="preserve">Вместе с тем следует также </w:t>
      </w:r>
      <w:r w:rsidR="002F3632" w:rsidRPr="00884716">
        <w:rPr>
          <w:color w:val="000000"/>
          <w:sz w:val="25"/>
          <w:szCs w:val="25"/>
        </w:rPr>
        <w:t>иметь ввиду</w:t>
      </w:r>
      <w:r w:rsidRPr="00884716">
        <w:rPr>
          <w:color w:val="000000"/>
          <w:sz w:val="25"/>
          <w:szCs w:val="25"/>
        </w:rPr>
        <w:t>, что размер акциза рас</w:t>
      </w:r>
      <w:r w:rsidR="0028745F" w:rsidRPr="00884716">
        <w:rPr>
          <w:color w:val="000000"/>
          <w:sz w:val="25"/>
          <w:szCs w:val="25"/>
        </w:rPr>
        <w:t>с</w:t>
      </w:r>
      <w:r w:rsidRPr="00884716">
        <w:rPr>
          <w:color w:val="000000"/>
          <w:sz w:val="25"/>
          <w:szCs w:val="25"/>
        </w:rPr>
        <w:t xml:space="preserve">читывается </w:t>
      </w:r>
      <w:r w:rsidR="002F3632" w:rsidRPr="00884716">
        <w:rPr>
          <w:color w:val="000000"/>
          <w:sz w:val="25"/>
          <w:szCs w:val="25"/>
        </w:rPr>
        <w:t>в соответствии с</w:t>
      </w:r>
      <w:r w:rsidR="0028745F" w:rsidRPr="00884716">
        <w:rPr>
          <w:color w:val="000000"/>
          <w:sz w:val="25"/>
          <w:szCs w:val="25"/>
        </w:rPr>
        <w:t>о</w:t>
      </w:r>
      <w:r w:rsidR="002F3632" w:rsidRPr="00884716">
        <w:rPr>
          <w:color w:val="000000"/>
          <w:sz w:val="25"/>
          <w:szCs w:val="25"/>
        </w:rPr>
        <w:t xml:space="preserve"> специальной</w:t>
      </w:r>
      <w:r w:rsidRPr="00884716">
        <w:rPr>
          <w:color w:val="000000"/>
          <w:sz w:val="25"/>
          <w:szCs w:val="25"/>
        </w:rPr>
        <w:t xml:space="preserve"> законодательно закрепленной формул</w:t>
      </w:r>
      <w:r w:rsidR="002F3632" w:rsidRPr="00884716">
        <w:rPr>
          <w:color w:val="000000"/>
          <w:sz w:val="25"/>
          <w:szCs w:val="25"/>
        </w:rPr>
        <w:t>ой,</w:t>
      </w:r>
      <w:r w:rsidRPr="00884716">
        <w:rPr>
          <w:color w:val="000000"/>
          <w:sz w:val="25"/>
          <w:szCs w:val="25"/>
        </w:rPr>
        <w:t xml:space="preserve"> в зависимости от существующей на момент </w:t>
      </w:r>
      <w:r w:rsidR="0028745F" w:rsidRPr="00884716">
        <w:rPr>
          <w:color w:val="000000"/>
          <w:sz w:val="25"/>
          <w:szCs w:val="25"/>
        </w:rPr>
        <w:t xml:space="preserve">такого </w:t>
      </w:r>
      <w:r w:rsidRPr="00884716">
        <w:rPr>
          <w:color w:val="000000"/>
          <w:sz w:val="25"/>
          <w:szCs w:val="25"/>
        </w:rPr>
        <w:t>расчета экспортной альтернативы</w:t>
      </w:r>
      <w:r w:rsidR="002F3632" w:rsidRPr="00884716">
        <w:rPr>
          <w:color w:val="000000"/>
          <w:sz w:val="25"/>
          <w:szCs w:val="25"/>
        </w:rPr>
        <w:t xml:space="preserve">. Что не позволяет хозяйствующему субъекту предусмотреть размер </w:t>
      </w:r>
      <w:r w:rsidR="00E86E7D" w:rsidRPr="00884716">
        <w:rPr>
          <w:color w:val="000000"/>
          <w:sz w:val="25"/>
          <w:szCs w:val="25"/>
        </w:rPr>
        <w:t xml:space="preserve">подлежащего возмещению </w:t>
      </w:r>
      <w:r w:rsidR="002F3632" w:rsidRPr="00884716">
        <w:rPr>
          <w:color w:val="000000"/>
          <w:sz w:val="25"/>
          <w:szCs w:val="25"/>
        </w:rPr>
        <w:t>акциза на дату расчета</w:t>
      </w:r>
      <w:r w:rsidR="00E86E7D" w:rsidRPr="00884716">
        <w:rPr>
          <w:color w:val="000000"/>
          <w:sz w:val="25"/>
          <w:szCs w:val="25"/>
        </w:rPr>
        <w:t xml:space="preserve"> в каждом налоговом периоде</w:t>
      </w:r>
      <w:r w:rsidR="002F3632" w:rsidRPr="00884716">
        <w:rPr>
          <w:color w:val="000000"/>
          <w:sz w:val="25"/>
          <w:szCs w:val="25"/>
        </w:rPr>
        <w:t xml:space="preserve">, а это </w:t>
      </w:r>
      <w:r w:rsidR="002F3632" w:rsidRPr="001971D2">
        <w:rPr>
          <w:color w:val="000000"/>
          <w:sz w:val="25"/>
          <w:szCs w:val="25"/>
          <w:u w:val="single"/>
        </w:rPr>
        <w:t>создает дополнительную негативную неопределенность при планировании хозяйственной деятельности ор</w:t>
      </w:r>
      <w:r w:rsidR="0028745F" w:rsidRPr="001971D2">
        <w:rPr>
          <w:color w:val="000000"/>
          <w:sz w:val="25"/>
          <w:szCs w:val="25"/>
          <w:u w:val="single"/>
        </w:rPr>
        <w:t>ганизаций</w:t>
      </w:r>
      <w:r w:rsidR="00E86E7D" w:rsidRPr="001971D2">
        <w:rPr>
          <w:color w:val="000000"/>
          <w:sz w:val="25"/>
          <w:szCs w:val="25"/>
          <w:u w:val="single"/>
        </w:rPr>
        <w:t>,</w:t>
      </w:r>
      <w:r w:rsidR="0028745F" w:rsidRPr="001971D2">
        <w:rPr>
          <w:color w:val="000000"/>
          <w:sz w:val="25"/>
          <w:szCs w:val="25"/>
          <w:u w:val="single"/>
        </w:rPr>
        <w:t xml:space="preserve"> имеющих по закону право на </w:t>
      </w:r>
      <w:r w:rsidR="00E86E7D" w:rsidRPr="001971D2">
        <w:rPr>
          <w:color w:val="000000"/>
          <w:sz w:val="25"/>
          <w:szCs w:val="25"/>
          <w:u w:val="single"/>
        </w:rPr>
        <w:t>возмещен</w:t>
      </w:r>
      <w:r w:rsidR="0028745F" w:rsidRPr="001971D2">
        <w:rPr>
          <w:color w:val="000000"/>
          <w:sz w:val="25"/>
          <w:szCs w:val="25"/>
          <w:u w:val="single"/>
        </w:rPr>
        <w:t>ие акциза, так как по опыту предыдущих лет в абсолютном выражении акциз на средние дистилляты составлял ориентировочно от 12 до 21 тысяч рублей на тонну</w:t>
      </w:r>
      <w:r w:rsidR="001971D2" w:rsidRPr="001971D2">
        <w:rPr>
          <w:color w:val="000000"/>
          <w:sz w:val="25"/>
          <w:szCs w:val="25"/>
          <w:u w:val="single"/>
        </w:rPr>
        <w:t xml:space="preserve">, а процесс возмещения указанного акциза </w:t>
      </w:r>
      <w:r w:rsidR="00E54A64">
        <w:rPr>
          <w:color w:val="000000"/>
          <w:sz w:val="25"/>
          <w:szCs w:val="25"/>
          <w:u w:val="single"/>
        </w:rPr>
        <w:t xml:space="preserve">по практике </w:t>
      </w:r>
      <w:r w:rsidR="001971D2" w:rsidRPr="001971D2">
        <w:rPr>
          <w:color w:val="000000"/>
          <w:sz w:val="25"/>
          <w:szCs w:val="25"/>
          <w:u w:val="single"/>
        </w:rPr>
        <w:t>может занимать до полугода</w:t>
      </w:r>
      <w:r w:rsidR="0028745F" w:rsidRPr="00884716">
        <w:rPr>
          <w:color w:val="000000"/>
          <w:sz w:val="25"/>
          <w:szCs w:val="25"/>
        </w:rPr>
        <w:t>. Важно также учесть, что в соответствии с действующим законодательством</w:t>
      </w:r>
      <w:r w:rsidR="00165D08" w:rsidRPr="00884716">
        <w:rPr>
          <w:color w:val="000000"/>
          <w:sz w:val="25"/>
          <w:szCs w:val="25"/>
        </w:rPr>
        <w:t>, если в качестве судового топлива используется дизельное топливо, равно как и при получении судового топлива путем смешения</w:t>
      </w:r>
      <w:r w:rsidR="00E86E7D" w:rsidRPr="00884716">
        <w:rPr>
          <w:color w:val="000000"/>
          <w:sz w:val="25"/>
          <w:szCs w:val="25"/>
        </w:rPr>
        <w:t>,</w:t>
      </w:r>
      <w:r w:rsidR="00165D08" w:rsidRPr="00884716">
        <w:rPr>
          <w:color w:val="000000"/>
          <w:sz w:val="25"/>
          <w:szCs w:val="25"/>
        </w:rPr>
        <w:t xml:space="preserve"> </w:t>
      </w:r>
      <w:proofErr w:type="gramStart"/>
      <w:r w:rsidR="00165D08" w:rsidRPr="00884716">
        <w:rPr>
          <w:color w:val="000000"/>
          <w:sz w:val="25"/>
          <w:szCs w:val="25"/>
        </w:rPr>
        <w:t>в  качестве</w:t>
      </w:r>
      <w:proofErr w:type="gramEnd"/>
      <w:r w:rsidR="00165D08" w:rsidRPr="00884716">
        <w:rPr>
          <w:color w:val="000000"/>
          <w:sz w:val="25"/>
          <w:szCs w:val="25"/>
        </w:rPr>
        <w:t xml:space="preserve"> одного из компонентов такого смешения, </w:t>
      </w:r>
      <w:r w:rsidR="00E86E7D" w:rsidRPr="00884716">
        <w:rPr>
          <w:color w:val="000000"/>
          <w:sz w:val="25"/>
          <w:szCs w:val="25"/>
        </w:rPr>
        <w:t>возмещение</w:t>
      </w:r>
      <w:r w:rsidR="00165D08" w:rsidRPr="00884716">
        <w:rPr>
          <w:color w:val="000000"/>
          <w:sz w:val="25"/>
          <w:szCs w:val="25"/>
        </w:rPr>
        <w:t xml:space="preserve"> начисленн</w:t>
      </w:r>
      <w:r w:rsidR="00E86E7D" w:rsidRPr="00884716">
        <w:rPr>
          <w:color w:val="000000"/>
          <w:sz w:val="25"/>
          <w:szCs w:val="25"/>
        </w:rPr>
        <w:t>ого</w:t>
      </w:r>
      <w:r w:rsidR="00165D08" w:rsidRPr="00884716">
        <w:rPr>
          <w:color w:val="000000"/>
          <w:sz w:val="25"/>
          <w:szCs w:val="25"/>
        </w:rPr>
        <w:t xml:space="preserve"> при п</w:t>
      </w:r>
      <w:r w:rsidR="00E86E7D" w:rsidRPr="00884716">
        <w:rPr>
          <w:color w:val="000000"/>
          <w:sz w:val="25"/>
          <w:szCs w:val="25"/>
        </w:rPr>
        <w:t>олучении</w:t>
      </w:r>
      <w:r w:rsidR="00165D08" w:rsidRPr="00884716">
        <w:rPr>
          <w:color w:val="000000"/>
          <w:sz w:val="25"/>
          <w:szCs w:val="25"/>
        </w:rPr>
        <w:t xml:space="preserve"> дизельного топлива акциз</w:t>
      </w:r>
      <w:r w:rsidR="00E86E7D" w:rsidRPr="00884716">
        <w:rPr>
          <w:color w:val="000000"/>
          <w:sz w:val="25"/>
          <w:szCs w:val="25"/>
        </w:rPr>
        <w:t>а</w:t>
      </w:r>
      <w:r w:rsidR="00165D08" w:rsidRPr="00884716">
        <w:rPr>
          <w:color w:val="000000"/>
          <w:sz w:val="25"/>
          <w:szCs w:val="25"/>
        </w:rPr>
        <w:t xml:space="preserve"> не предусмотрен</w:t>
      </w:r>
      <w:r w:rsidR="00E86E7D" w:rsidRPr="00884716">
        <w:rPr>
          <w:color w:val="000000"/>
          <w:sz w:val="25"/>
          <w:szCs w:val="25"/>
        </w:rPr>
        <w:t xml:space="preserve">о, что существенно снижает возможности получения </w:t>
      </w:r>
      <w:proofErr w:type="spellStart"/>
      <w:r w:rsidR="00E86E7D" w:rsidRPr="00884716">
        <w:rPr>
          <w:color w:val="000000"/>
          <w:sz w:val="25"/>
          <w:szCs w:val="25"/>
        </w:rPr>
        <w:t>низкосернистого</w:t>
      </w:r>
      <w:proofErr w:type="spellEnd"/>
      <w:r w:rsidR="00E86E7D" w:rsidRPr="00884716">
        <w:rPr>
          <w:color w:val="000000"/>
          <w:sz w:val="25"/>
          <w:szCs w:val="25"/>
        </w:rPr>
        <w:t xml:space="preserve"> </w:t>
      </w:r>
      <w:r w:rsidR="00884716" w:rsidRPr="00884716">
        <w:rPr>
          <w:color w:val="000000"/>
          <w:sz w:val="25"/>
          <w:szCs w:val="25"/>
        </w:rPr>
        <w:t>судового топлива</w:t>
      </w:r>
      <w:r w:rsidR="00165D08" w:rsidRPr="00884716">
        <w:rPr>
          <w:color w:val="000000"/>
          <w:sz w:val="25"/>
          <w:szCs w:val="25"/>
        </w:rPr>
        <w:t>.</w:t>
      </w:r>
    </w:p>
    <w:p w14:paraId="46AC6753" w14:textId="110EE792" w:rsidR="00871E9A" w:rsidRPr="008C42C2" w:rsidRDefault="00871E9A" w:rsidP="00871E9A">
      <w:pPr>
        <w:pStyle w:val="228bf8a64b8551e1msonormal"/>
        <w:shd w:val="clear" w:color="auto" w:fill="FFFFFF"/>
        <w:spacing w:before="0" w:beforeAutospacing="0" w:after="0" w:afterAutospacing="0" w:line="276" w:lineRule="auto"/>
        <w:ind w:firstLine="708"/>
        <w:jc w:val="both"/>
        <w:rPr>
          <w:color w:val="000000"/>
          <w:sz w:val="25"/>
          <w:szCs w:val="25"/>
        </w:rPr>
      </w:pPr>
      <w:r w:rsidRPr="008C42C2">
        <w:rPr>
          <w:color w:val="000000"/>
          <w:sz w:val="25"/>
          <w:szCs w:val="25"/>
        </w:rPr>
        <w:t xml:space="preserve">Таким образом, </w:t>
      </w:r>
      <w:r w:rsidRPr="008C42C2">
        <w:rPr>
          <w:color w:val="000000"/>
          <w:sz w:val="25"/>
          <w:szCs w:val="25"/>
          <w:u w:val="single"/>
        </w:rPr>
        <w:t xml:space="preserve">поэтапное обнуление экспортной пошлины наряду с отменой принятых в 2018 году налоговых вычетов на темное судовое топливо при реализации в бункерном канале и расширением перечня подакцизных дистиллятов, невозможность получения вычета по полученному путем смешения (блендирования) судовому топливу привели к росту цен на судовое (бункерное) топливо и полностью ликвидировали ценовое преимущество бункеровки в российских портах </w:t>
      </w:r>
      <w:r w:rsidR="00884716">
        <w:rPr>
          <w:color w:val="000000"/>
          <w:sz w:val="25"/>
          <w:szCs w:val="25"/>
          <w:u w:val="single"/>
        </w:rPr>
        <w:t xml:space="preserve">как </w:t>
      </w:r>
      <w:r w:rsidRPr="008C42C2">
        <w:rPr>
          <w:color w:val="000000"/>
          <w:sz w:val="25"/>
          <w:szCs w:val="25"/>
          <w:u w:val="single"/>
        </w:rPr>
        <w:t xml:space="preserve">для </w:t>
      </w:r>
      <w:r w:rsidR="00884716">
        <w:rPr>
          <w:color w:val="000000"/>
          <w:sz w:val="25"/>
          <w:szCs w:val="25"/>
          <w:u w:val="single"/>
        </w:rPr>
        <w:t xml:space="preserve">российских, так и для </w:t>
      </w:r>
      <w:r w:rsidRPr="008C42C2">
        <w:rPr>
          <w:color w:val="000000"/>
          <w:sz w:val="25"/>
          <w:szCs w:val="25"/>
          <w:u w:val="single"/>
        </w:rPr>
        <w:t>иностранных судовладельцев</w:t>
      </w:r>
      <w:r w:rsidRPr="008C42C2">
        <w:rPr>
          <w:color w:val="000000"/>
          <w:sz w:val="25"/>
          <w:szCs w:val="25"/>
        </w:rPr>
        <w:t>. Это наряду с повышенной фискальной нагрузкой на бункеровочную отрасль негативно отразилось на объеме реализации бункерного топлива судовладельцам, так в 2020 году объем реализации судового топлива в портах и на внутренних водных путях Российской Федерации снизился с 11 до 7,9 млн. тонн (т. е. на 29% по сравнению с 2019 годом), а по Дальнему Востоку снижение за 2020 год по сравнению с 2019 годом составило беспрецедентные 48 процентов (с 4,6 млн. тонн в 2019 году до 2,4 млн. тонн в 2020 году).</w:t>
      </w:r>
    </w:p>
    <w:p w14:paraId="5F04AF98" w14:textId="10E11B3B" w:rsidR="00871E9A" w:rsidRPr="008C42C2" w:rsidRDefault="00871E9A" w:rsidP="00871E9A">
      <w:pPr>
        <w:pStyle w:val="228bf8a64b8551e1msonormal"/>
        <w:shd w:val="clear" w:color="auto" w:fill="FFFFFF"/>
        <w:spacing w:before="0" w:beforeAutospacing="0" w:after="0" w:afterAutospacing="0" w:line="276" w:lineRule="auto"/>
        <w:ind w:firstLine="708"/>
        <w:jc w:val="both"/>
        <w:rPr>
          <w:color w:val="000000"/>
          <w:sz w:val="25"/>
          <w:szCs w:val="25"/>
        </w:rPr>
      </w:pPr>
      <w:r w:rsidRPr="008C42C2">
        <w:rPr>
          <w:color w:val="000000"/>
          <w:sz w:val="25"/>
          <w:szCs w:val="25"/>
        </w:rPr>
        <w:t xml:space="preserve">Вместе с тем, несмотря на постепенное восстановление международной деловой активности в результате поэтапной отмены связанных с пандемией ограничений, сокращение объема рынка продаж судового топлива на российском рынке в 2021 году продолжилось, о чем свидетельствуют следующие сравнительные данные об объемах продаж на российском  рынке бункеровки судов за 5 месяцев 2019г. / 2020г. / 2021г. – 4,7 млн. тонн / 2,9 млн. тонн / 1,9 млн. тонн, в российских портах на Дальнем Востоке за 5 месяцев 2020г. / 2021г. – 1,2 млн. тонн / 0,74 млн. тонн. </w:t>
      </w:r>
      <w:r w:rsidR="007657CB">
        <w:rPr>
          <w:color w:val="000000"/>
          <w:sz w:val="25"/>
          <w:szCs w:val="25"/>
        </w:rPr>
        <w:t xml:space="preserve">А по результатам 2021 года в целом в сравнении с 2020, на Дальнем Востоке </w:t>
      </w:r>
      <w:r w:rsidR="007657CB" w:rsidRPr="008C42C2">
        <w:rPr>
          <w:color w:val="000000"/>
          <w:sz w:val="25"/>
          <w:szCs w:val="25"/>
        </w:rPr>
        <w:t xml:space="preserve">2020г. / 2021г. – </w:t>
      </w:r>
      <w:r w:rsidR="007657CB">
        <w:rPr>
          <w:color w:val="000000"/>
          <w:sz w:val="25"/>
          <w:szCs w:val="25"/>
        </w:rPr>
        <w:t>2,4</w:t>
      </w:r>
      <w:r w:rsidR="007657CB" w:rsidRPr="008C42C2">
        <w:rPr>
          <w:color w:val="000000"/>
          <w:sz w:val="25"/>
          <w:szCs w:val="25"/>
        </w:rPr>
        <w:t xml:space="preserve"> млн. тонн / </w:t>
      </w:r>
      <w:r w:rsidR="007657CB">
        <w:rPr>
          <w:color w:val="000000"/>
          <w:sz w:val="25"/>
          <w:szCs w:val="25"/>
        </w:rPr>
        <w:t>1,94</w:t>
      </w:r>
      <w:r w:rsidR="007657CB" w:rsidRPr="008C42C2">
        <w:rPr>
          <w:color w:val="000000"/>
          <w:sz w:val="25"/>
          <w:szCs w:val="25"/>
        </w:rPr>
        <w:t xml:space="preserve"> млн. тонн</w:t>
      </w:r>
      <w:r w:rsidR="007657CB">
        <w:rPr>
          <w:color w:val="000000"/>
          <w:sz w:val="25"/>
          <w:szCs w:val="25"/>
        </w:rPr>
        <w:t xml:space="preserve">, по всей Российской Федерации - 7,9 </w:t>
      </w:r>
      <w:r w:rsidR="007657CB" w:rsidRPr="008C42C2">
        <w:rPr>
          <w:color w:val="000000"/>
          <w:sz w:val="25"/>
          <w:szCs w:val="25"/>
        </w:rPr>
        <w:t xml:space="preserve">млн. тонн / </w:t>
      </w:r>
      <w:r w:rsidR="007657CB">
        <w:rPr>
          <w:color w:val="000000"/>
          <w:sz w:val="25"/>
          <w:szCs w:val="25"/>
        </w:rPr>
        <w:t>7,1</w:t>
      </w:r>
      <w:r w:rsidR="007657CB" w:rsidRPr="008C42C2">
        <w:rPr>
          <w:color w:val="000000"/>
          <w:sz w:val="25"/>
          <w:szCs w:val="25"/>
        </w:rPr>
        <w:t xml:space="preserve"> млн. тонн</w:t>
      </w:r>
      <w:r w:rsidR="007657CB">
        <w:rPr>
          <w:color w:val="000000"/>
          <w:sz w:val="25"/>
          <w:szCs w:val="25"/>
        </w:rPr>
        <w:t>.</w:t>
      </w:r>
    </w:p>
    <w:p w14:paraId="51D14F42" w14:textId="77777777" w:rsidR="00871E9A" w:rsidRPr="008C42C2" w:rsidRDefault="00871E9A" w:rsidP="00871E9A">
      <w:pPr>
        <w:pStyle w:val="228bf8a64b8551e1msonormal"/>
        <w:shd w:val="clear" w:color="auto" w:fill="FFFFFF"/>
        <w:spacing w:before="0" w:beforeAutospacing="0" w:after="0" w:afterAutospacing="0" w:line="276" w:lineRule="auto"/>
        <w:ind w:firstLine="708"/>
        <w:jc w:val="both"/>
        <w:rPr>
          <w:color w:val="000000"/>
          <w:sz w:val="25"/>
          <w:szCs w:val="25"/>
        </w:rPr>
      </w:pPr>
      <w:r w:rsidRPr="008C42C2">
        <w:rPr>
          <w:color w:val="000000"/>
          <w:sz w:val="25"/>
          <w:szCs w:val="25"/>
        </w:rPr>
        <w:t xml:space="preserve">При этом важно иметь ввиду, что с учетом конкуренции российских портов с портами сопредельных государств, значительное повышение цены на судовое топливо в российских портах существенно снижает их привлекательность по сравнению портами сопредельных государств, в которых судовое топливо дешевле и значительно проще регулирование, например - </w:t>
      </w:r>
      <w:r w:rsidRPr="008C42C2">
        <w:rPr>
          <w:color w:val="000000"/>
          <w:sz w:val="25"/>
          <w:szCs w:val="25"/>
        </w:rPr>
        <w:lastRenderedPageBreak/>
        <w:t xml:space="preserve">российских портов на Дальнем Востоке по сравнению с портами КНР, рынок бункеровки в которых не сокращается как в Российской Федерации, а напротив, стремительно растет (см. публикацию по ссылке: </w:t>
      </w:r>
      <w:hyperlink r:id="rId7" w:tgtFrame="_blank" w:history="1">
        <w:r w:rsidRPr="008C42C2">
          <w:rPr>
            <w:rStyle w:val="a5"/>
            <w:rFonts w:ascii="Calibri" w:hAnsi="Calibri" w:cs="Calibri"/>
            <w:color w:val="2222CC"/>
            <w:sz w:val="25"/>
            <w:szCs w:val="25"/>
            <w:shd w:val="clear" w:color="auto" w:fill="FFFFFF"/>
            <w:lang w:val="en-US"/>
          </w:rPr>
          <w:t>China</w:t>
        </w:r>
        <w:r w:rsidRPr="008C42C2">
          <w:rPr>
            <w:rStyle w:val="a5"/>
            <w:rFonts w:ascii="Calibri" w:hAnsi="Calibri" w:cs="Calibri"/>
            <w:color w:val="2222CC"/>
            <w:sz w:val="25"/>
            <w:szCs w:val="25"/>
            <w:shd w:val="clear" w:color="auto" w:fill="FFFFFF"/>
          </w:rPr>
          <w:t xml:space="preserve">: </w:t>
        </w:r>
        <w:r w:rsidRPr="008C42C2">
          <w:rPr>
            <w:rStyle w:val="a5"/>
            <w:rFonts w:ascii="Calibri" w:hAnsi="Calibri" w:cs="Calibri"/>
            <w:color w:val="2222CC"/>
            <w:sz w:val="25"/>
            <w:szCs w:val="25"/>
            <w:shd w:val="clear" w:color="auto" w:fill="FFFFFF"/>
            <w:lang w:val="en-US"/>
          </w:rPr>
          <w:t>Bonded</w:t>
        </w:r>
        <w:r w:rsidRPr="008C42C2">
          <w:rPr>
            <w:rStyle w:val="a5"/>
            <w:rFonts w:ascii="Calibri" w:hAnsi="Calibri" w:cs="Calibri"/>
            <w:color w:val="2222CC"/>
            <w:sz w:val="25"/>
            <w:szCs w:val="25"/>
            <w:shd w:val="clear" w:color="auto" w:fill="FFFFFF"/>
          </w:rPr>
          <w:t xml:space="preserve"> </w:t>
        </w:r>
        <w:r w:rsidRPr="008C42C2">
          <w:rPr>
            <w:rStyle w:val="a5"/>
            <w:rFonts w:ascii="Calibri" w:hAnsi="Calibri" w:cs="Calibri"/>
            <w:color w:val="2222CC"/>
            <w:sz w:val="25"/>
            <w:szCs w:val="25"/>
            <w:shd w:val="clear" w:color="auto" w:fill="FFFFFF"/>
            <w:lang w:val="en-US"/>
          </w:rPr>
          <w:t>LSFO</w:t>
        </w:r>
        <w:r w:rsidRPr="008C42C2">
          <w:rPr>
            <w:rStyle w:val="a5"/>
            <w:rFonts w:ascii="Calibri" w:hAnsi="Calibri" w:cs="Calibri"/>
            <w:color w:val="2222CC"/>
            <w:sz w:val="25"/>
            <w:szCs w:val="25"/>
            <w:shd w:val="clear" w:color="auto" w:fill="FFFFFF"/>
          </w:rPr>
          <w:t xml:space="preserve"> </w:t>
        </w:r>
        <w:r w:rsidRPr="008C42C2">
          <w:rPr>
            <w:rStyle w:val="a5"/>
            <w:rFonts w:ascii="Calibri" w:hAnsi="Calibri" w:cs="Calibri"/>
            <w:color w:val="2222CC"/>
            <w:sz w:val="25"/>
            <w:szCs w:val="25"/>
            <w:shd w:val="clear" w:color="auto" w:fill="FFFFFF"/>
            <w:lang w:val="en-US"/>
          </w:rPr>
          <w:t>Monthly</w:t>
        </w:r>
        <w:r w:rsidRPr="008C42C2">
          <w:rPr>
            <w:rStyle w:val="a5"/>
            <w:rFonts w:ascii="Calibri" w:hAnsi="Calibri" w:cs="Calibri"/>
            <w:color w:val="2222CC"/>
            <w:sz w:val="25"/>
            <w:szCs w:val="25"/>
            <w:shd w:val="clear" w:color="auto" w:fill="FFFFFF"/>
          </w:rPr>
          <w:t xml:space="preserve"> </w:t>
        </w:r>
        <w:r w:rsidRPr="008C42C2">
          <w:rPr>
            <w:rStyle w:val="a5"/>
            <w:rFonts w:ascii="Calibri" w:hAnsi="Calibri" w:cs="Calibri"/>
            <w:color w:val="2222CC"/>
            <w:sz w:val="25"/>
            <w:szCs w:val="25"/>
            <w:shd w:val="clear" w:color="auto" w:fill="FFFFFF"/>
            <w:lang w:val="en-US"/>
          </w:rPr>
          <w:t>Export</w:t>
        </w:r>
        <w:r w:rsidRPr="008C42C2">
          <w:rPr>
            <w:rStyle w:val="a5"/>
            <w:rFonts w:ascii="Calibri" w:hAnsi="Calibri" w:cs="Calibri"/>
            <w:color w:val="2222CC"/>
            <w:sz w:val="25"/>
            <w:szCs w:val="25"/>
            <w:shd w:val="clear" w:color="auto" w:fill="FFFFFF"/>
          </w:rPr>
          <w:t xml:space="preserve"> </w:t>
        </w:r>
        <w:r w:rsidRPr="008C42C2">
          <w:rPr>
            <w:rStyle w:val="a5"/>
            <w:rFonts w:ascii="Calibri" w:hAnsi="Calibri" w:cs="Calibri"/>
            <w:color w:val="2222CC"/>
            <w:sz w:val="25"/>
            <w:szCs w:val="25"/>
            <w:shd w:val="clear" w:color="auto" w:fill="FFFFFF"/>
            <w:lang w:val="en-US"/>
          </w:rPr>
          <w:t>Data</w:t>
        </w:r>
        <w:r w:rsidRPr="008C42C2">
          <w:rPr>
            <w:rStyle w:val="a5"/>
            <w:rFonts w:ascii="Calibri" w:hAnsi="Calibri" w:cs="Calibri"/>
            <w:color w:val="2222CC"/>
            <w:sz w:val="25"/>
            <w:szCs w:val="25"/>
            <w:shd w:val="clear" w:color="auto" w:fill="FFFFFF"/>
          </w:rPr>
          <w:t xml:space="preserve"> </w:t>
        </w:r>
        <w:r w:rsidRPr="008C42C2">
          <w:rPr>
            <w:rStyle w:val="a5"/>
            <w:rFonts w:ascii="Calibri" w:hAnsi="Calibri" w:cs="Calibri"/>
            <w:color w:val="2222CC"/>
            <w:sz w:val="25"/>
            <w:szCs w:val="25"/>
            <w:shd w:val="clear" w:color="auto" w:fill="FFFFFF"/>
            <w:lang w:val="en-US"/>
          </w:rPr>
          <w:t>Shows</w:t>
        </w:r>
        <w:r w:rsidRPr="008C42C2">
          <w:rPr>
            <w:rStyle w:val="a5"/>
            <w:rFonts w:ascii="Calibri" w:hAnsi="Calibri" w:cs="Calibri"/>
            <w:color w:val="2222CC"/>
            <w:sz w:val="25"/>
            <w:szCs w:val="25"/>
            <w:shd w:val="clear" w:color="auto" w:fill="FFFFFF"/>
          </w:rPr>
          <w:t xml:space="preserve"> </w:t>
        </w:r>
        <w:r w:rsidRPr="008C42C2">
          <w:rPr>
            <w:rStyle w:val="a5"/>
            <w:rFonts w:ascii="Calibri" w:hAnsi="Calibri" w:cs="Calibri"/>
            <w:color w:val="2222CC"/>
            <w:sz w:val="25"/>
            <w:szCs w:val="25"/>
            <w:shd w:val="clear" w:color="auto" w:fill="FFFFFF"/>
            <w:lang w:val="en-US"/>
          </w:rPr>
          <w:t>Rise</w:t>
        </w:r>
        <w:r w:rsidRPr="008C42C2">
          <w:rPr>
            <w:rStyle w:val="a5"/>
            <w:rFonts w:ascii="Calibri" w:hAnsi="Calibri" w:cs="Calibri"/>
            <w:color w:val="2222CC"/>
            <w:sz w:val="25"/>
            <w:szCs w:val="25"/>
            <w:shd w:val="clear" w:color="auto" w:fill="FFFFFF"/>
          </w:rPr>
          <w:t xml:space="preserve"> - </w:t>
        </w:r>
        <w:r w:rsidRPr="008C42C2">
          <w:rPr>
            <w:rStyle w:val="a5"/>
            <w:rFonts w:ascii="Calibri" w:hAnsi="Calibri" w:cs="Calibri"/>
            <w:color w:val="2222CC"/>
            <w:sz w:val="25"/>
            <w:szCs w:val="25"/>
            <w:shd w:val="clear" w:color="auto" w:fill="FFFFFF"/>
            <w:lang w:val="en-US"/>
          </w:rPr>
          <w:t>Ship</w:t>
        </w:r>
        <w:r w:rsidRPr="008C42C2">
          <w:rPr>
            <w:rStyle w:val="a5"/>
            <w:rFonts w:ascii="Calibri" w:hAnsi="Calibri" w:cs="Calibri"/>
            <w:color w:val="2222CC"/>
            <w:sz w:val="25"/>
            <w:szCs w:val="25"/>
            <w:shd w:val="clear" w:color="auto" w:fill="FFFFFF"/>
          </w:rPr>
          <w:t xml:space="preserve"> &amp; </w:t>
        </w:r>
        <w:r w:rsidRPr="008C42C2">
          <w:rPr>
            <w:rStyle w:val="a5"/>
            <w:rFonts w:ascii="Calibri" w:hAnsi="Calibri" w:cs="Calibri"/>
            <w:color w:val="2222CC"/>
            <w:sz w:val="25"/>
            <w:szCs w:val="25"/>
            <w:shd w:val="clear" w:color="auto" w:fill="FFFFFF"/>
            <w:lang w:val="en-US"/>
          </w:rPr>
          <w:t>Bunker</w:t>
        </w:r>
        <w:r w:rsidRPr="008C42C2">
          <w:rPr>
            <w:rStyle w:val="a5"/>
            <w:rFonts w:ascii="Calibri" w:hAnsi="Calibri" w:cs="Calibri"/>
            <w:color w:val="2222CC"/>
            <w:sz w:val="25"/>
            <w:szCs w:val="25"/>
            <w:shd w:val="clear" w:color="auto" w:fill="FFFFFF"/>
          </w:rPr>
          <w:t xml:space="preserve"> (</w:t>
        </w:r>
        <w:r w:rsidRPr="008C42C2">
          <w:rPr>
            <w:rStyle w:val="a5"/>
            <w:rFonts w:ascii="Calibri" w:hAnsi="Calibri" w:cs="Calibri"/>
            <w:color w:val="2222CC"/>
            <w:sz w:val="25"/>
            <w:szCs w:val="25"/>
            <w:shd w:val="clear" w:color="auto" w:fill="FFFFFF"/>
            <w:lang w:val="en-US"/>
          </w:rPr>
          <w:t>shipandbunker</w:t>
        </w:r>
        <w:r w:rsidRPr="008C42C2">
          <w:rPr>
            <w:rStyle w:val="a5"/>
            <w:rFonts w:ascii="Calibri" w:hAnsi="Calibri" w:cs="Calibri"/>
            <w:color w:val="2222CC"/>
            <w:sz w:val="25"/>
            <w:szCs w:val="25"/>
            <w:shd w:val="clear" w:color="auto" w:fill="FFFFFF"/>
          </w:rPr>
          <w:t>.</w:t>
        </w:r>
        <w:r w:rsidRPr="008C42C2">
          <w:rPr>
            <w:rStyle w:val="a5"/>
            <w:rFonts w:ascii="Calibri" w:hAnsi="Calibri" w:cs="Calibri"/>
            <w:color w:val="2222CC"/>
            <w:sz w:val="25"/>
            <w:szCs w:val="25"/>
            <w:shd w:val="clear" w:color="auto" w:fill="FFFFFF"/>
            <w:lang w:val="en-US"/>
          </w:rPr>
          <w:t>com</w:t>
        </w:r>
        <w:r w:rsidRPr="008C42C2">
          <w:rPr>
            <w:rStyle w:val="a5"/>
            <w:rFonts w:ascii="Calibri" w:hAnsi="Calibri" w:cs="Calibri"/>
            <w:color w:val="2222CC"/>
            <w:sz w:val="25"/>
            <w:szCs w:val="25"/>
            <w:shd w:val="clear" w:color="auto" w:fill="FFFFFF"/>
          </w:rPr>
          <w:t>)</w:t>
        </w:r>
      </w:hyperlink>
      <w:r w:rsidRPr="008C42C2">
        <w:rPr>
          <w:color w:val="000000"/>
          <w:sz w:val="25"/>
          <w:szCs w:val="25"/>
        </w:rPr>
        <w:t xml:space="preserve">). </w:t>
      </w:r>
    </w:p>
    <w:p w14:paraId="65DA662C" w14:textId="77777777" w:rsidR="00871E9A" w:rsidRPr="008C42C2" w:rsidRDefault="00871E9A" w:rsidP="00871E9A">
      <w:pPr>
        <w:pStyle w:val="228bf8a64b8551e1msonormal"/>
        <w:shd w:val="clear" w:color="auto" w:fill="FFFFFF"/>
        <w:spacing w:before="0" w:beforeAutospacing="0" w:after="0" w:afterAutospacing="0" w:line="276" w:lineRule="auto"/>
        <w:ind w:firstLine="709"/>
        <w:jc w:val="both"/>
        <w:rPr>
          <w:color w:val="000000"/>
          <w:sz w:val="25"/>
          <w:szCs w:val="25"/>
        </w:rPr>
      </w:pPr>
      <w:r w:rsidRPr="008C42C2">
        <w:rPr>
          <w:color w:val="000000"/>
          <w:sz w:val="25"/>
          <w:szCs w:val="25"/>
        </w:rPr>
        <w:t>Следствием существенного повышения цены на судовое топливо в российских портах является не только значительное снижение количества заходов иностранных судов в российские порты, которое приводит к мультипликативному эффекту накопления недополученных доходов, вследствие сокращения уплаты портовых сборов, доходов от портовых услуг и эксплуатации портовой структуры, обеспечивающих развитие морской портовой инфраструктуры России, но и значительное снижение занятости населения в стратегически значимой отрасли (по состоянию на 2021 год численность работников непосредственно в бункеровочной отрасли насчитывает до 15 тыс. человек, а занятость в смежных с бункеровочной отраслях – до 50 тыс. человек.).</w:t>
      </w:r>
    </w:p>
    <w:p w14:paraId="068EA5F7" w14:textId="77777777" w:rsidR="00871E9A" w:rsidRPr="008C42C2" w:rsidRDefault="00871E9A" w:rsidP="00871E9A">
      <w:pPr>
        <w:pStyle w:val="228bf8a64b8551e1msonormal"/>
        <w:shd w:val="clear" w:color="auto" w:fill="FFFFFF"/>
        <w:spacing w:before="0" w:beforeAutospacing="0" w:after="0" w:afterAutospacing="0" w:line="276" w:lineRule="auto"/>
        <w:ind w:firstLine="709"/>
        <w:jc w:val="both"/>
        <w:rPr>
          <w:color w:val="000000"/>
          <w:sz w:val="25"/>
          <w:szCs w:val="25"/>
        </w:rPr>
      </w:pPr>
      <w:r w:rsidRPr="008C42C2">
        <w:rPr>
          <w:color w:val="000000"/>
          <w:sz w:val="25"/>
          <w:szCs w:val="25"/>
        </w:rPr>
        <w:t xml:space="preserve">В тоже время </w:t>
      </w:r>
      <w:r w:rsidRPr="008C42C2">
        <w:rPr>
          <w:b/>
          <w:color w:val="000000"/>
          <w:sz w:val="25"/>
          <w:szCs w:val="25"/>
        </w:rPr>
        <w:t>по причине значительного повышения цены на судовое топливо в российских портах с 2019 года российские судовладельцы также предпочитают бункероваться за рубежом</w:t>
      </w:r>
      <w:r w:rsidRPr="008C42C2">
        <w:rPr>
          <w:color w:val="000000"/>
          <w:sz w:val="25"/>
          <w:szCs w:val="25"/>
        </w:rPr>
        <w:t>, так как именно расходы на потребляемое судовое топливо преимущественно и непосредственно влияют на себестоимость перевозки (</w:t>
      </w:r>
      <w:r w:rsidRPr="008C42C2">
        <w:rPr>
          <w:i/>
          <w:sz w:val="25"/>
          <w:szCs w:val="25"/>
        </w:rPr>
        <w:t>доля судового топлива в себестоимости перевозок водным транспортом составляет ориентировочно 30-40%</w:t>
      </w:r>
      <w:r w:rsidRPr="008C42C2">
        <w:rPr>
          <w:color w:val="000000"/>
          <w:sz w:val="25"/>
          <w:szCs w:val="25"/>
        </w:rPr>
        <w:t>), а следовательно на конкурентоспособность российских судоходных компаний и на привлекательность российских морских портов.</w:t>
      </w:r>
    </w:p>
    <w:p w14:paraId="2981B180" w14:textId="77777777" w:rsidR="00871E9A" w:rsidRPr="008C42C2" w:rsidRDefault="00871E9A" w:rsidP="00871E9A">
      <w:pPr>
        <w:shd w:val="clear" w:color="auto" w:fill="FFFFFF"/>
        <w:spacing w:after="0"/>
        <w:ind w:firstLine="851"/>
        <w:jc w:val="both"/>
        <w:rPr>
          <w:rFonts w:ascii="Times New Roman" w:eastAsia="Times New Roman" w:hAnsi="Times New Roman" w:cs="Times New Roman"/>
          <w:color w:val="000000"/>
          <w:sz w:val="25"/>
          <w:szCs w:val="25"/>
          <w:lang w:eastAsia="ru-RU"/>
        </w:rPr>
      </w:pPr>
      <w:r w:rsidRPr="008C42C2">
        <w:rPr>
          <w:rFonts w:ascii="Times New Roman" w:eastAsia="Times New Roman" w:hAnsi="Times New Roman" w:cs="Times New Roman"/>
          <w:color w:val="000000"/>
          <w:sz w:val="25"/>
          <w:szCs w:val="25"/>
          <w:lang w:eastAsia="ru-RU"/>
        </w:rPr>
        <w:t>В</w:t>
      </w:r>
      <w:r w:rsidRPr="00DE3304">
        <w:rPr>
          <w:rFonts w:ascii="Times New Roman" w:eastAsia="Times New Roman" w:hAnsi="Times New Roman" w:cs="Times New Roman"/>
          <w:color w:val="000000"/>
          <w:sz w:val="25"/>
          <w:szCs w:val="25"/>
          <w:lang w:eastAsia="ru-RU"/>
        </w:rPr>
        <w:t xml:space="preserve">ызывают </w:t>
      </w:r>
      <w:r w:rsidRPr="008C42C2">
        <w:rPr>
          <w:rFonts w:ascii="Times New Roman" w:eastAsia="Times New Roman" w:hAnsi="Times New Roman" w:cs="Times New Roman"/>
          <w:color w:val="000000"/>
          <w:sz w:val="25"/>
          <w:szCs w:val="25"/>
          <w:lang w:eastAsia="ru-RU"/>
        </w:rPr>
        <w:t xml:space="preserve">также </w:t>
      </w:r>
      <w:r w:rsidRPr="00DE3304">
        <w:rPr>
          <w:rFonts w:ascii="Times New Roman" w:eastAsia="Times New Roman" w:hAnsi="Times New Roman" w:cs="Times New Roman"/>
          <w:color w:val="000000"/>
          <w:sz w:val="25"/>
          <w:szCs w:val="25"/>
          <w:lang w:eastAsia="ru-RU"/>
        </w:rPr>
        <w:t xml:space="preserve">обеспокоенность уже принятые </w:t>
      </w:r>
      <w:r w:rsidRPr="008C42C2">
        <w:rPr>
          <w:rFonts w:ascii="Times New Roman" w:eastAsia="Times New Roman" w:hAnsi="Times New Roman" w:cs="Times New Roman"/>
          <w:color w:val="000000"/>
          <w:sz w:val="25"/>
          <w:szCs w:val="25"/>
          <w:lang w:eastAsia="ru-RU"/>
        </w:rPr>
        <w:t xml:space="preserve">и </w:t>
      </w:r>
      <w:proofErr w:type="gramStart"/>
      <w:r w:rsidRPr="008C42C2">
        <w:rPr>
          <w:rFonts w:ascii="Times New Roman" w:eastAsia="Times New Roman" w:hAnsi="Times New Roman" w:cs="Times New Roman"/>
          <w:color w:val="000000"/>
          <w:sz w:val="25"/>
          <w:szCs w:val="25"/>
          <w:lang w:eastAsia="ru-RU"/>
        </w:rPr>
        <w:t xml:space="preserve">реализуемые </w:t>
      </w:r>
      <w:r w:rsidRPr="00DE3304">
        <w:rPr>
          <w:rFonts w:ascii="Times New Roman" w:eastAsia="Times New Roman" w:hAnsi="Times New Roman" w:cs="Times New Roman"/>
          <w:color w:val="000000"/>
          <w:sz w:val="25"/>
          <w:szCs w:val="25"/>
          <w:lang w:eastAsia="ru-RU"/>
        </w:rPr>
        <w:t>решения</w:t>
      </w:r>
      <w:proofErr w:type="gramEnd"/>
      <w:r w:rsidRPr="008C42C2">
        <w:rPr>
          <w:rFonts w:ascii="Times New Roman" w:eastAsia="Times New Roman" w:hAnsi="Times New Roman" w:cs="Times New Roman"/>
          <w:color w:val="000000"/>
          <w:sz w:val="25"/>
          <w:szCs w:val="25"/>
          <w:lang w:eastAsia="ru-RU"/>
        </w:rPr>
        <w:t xml:space="preserve"> которые оказывают негативное влияние </w:t>
      </w:r>
      <w:r w:rsidRPr="00DE3304">
        <w:rPr>
          <w:rFonts w:ascii="Times New Roman" w:eastAsia="Times New Roman" w:hAnsi="Times New Roman" w:cs="Times New Roman"/>
          <w:color w:val="000000"/>
          <w:sz w:val="25"/>
          <w:szCs w:val="25"/>
          <w:lang w:eastAsia="ru-RU"/>
        </w:rPr>
        <w:t>на деятельность судоходной и</w:t>
      </w:r>
      <w:r w:rsidRPr="008C42C2">
        <w:rPr>
          <w:rFonts w:ascii="Times New Roman" w:eastAsia="Times New Roman" w:hAnsi="Times New Roman" w:cs="Times New Roman"/>
          <w:color w:val="000000"/>
          <w:sz w:val="25"/>
          <w:szCs w:val="25"/>
          <w:lang w:eastAsia="ru-RU"/>
        </w:rPr>
        <w:t xml:space="preserve"> бункеровочной отрасли. </w:t>
      </w:r>
    </w:p>
    <w:p w14:paraId="6F833AE3" w14:textId="77777777" w:rsidR="00871E9A" w:rsidRPr="008C42C2" w:rsidRDefault="00871E9A" w:rsidP="00871E9A">
      <w:pPr>
        <w:shd w:val="clear" w:color="auto" w:fill="FFFFFF"/>
        <w:spacing w:after="0"/>
        <w:ind w:firstLine="851"/>
        <w:jc w:val="both"/>
        <w:rPr>
          <w:rFonts w:ascii="Times New Roman" w:eastAsia="Times New Roman" w:hAnsi="Times New Roman" w:cs="Times New Roman"/>
          <w:color w:val="000000"/>
          <w:sz w:val="25"/>
          <w:szCs w:val="25"/>
          <w:lang w:eastAsia="ru-RU"/>
        </w:rPr>
      </w:pPr>
      <w:r w:rsidRPr="008C42C2">
        <w:rPr>
          <w:rFonts w:ascii="Times New Roman" w:eastAsia="Times New Roman" w:hAnsi="Times New Roman" w:cs="Times New Roman"/>
          <w:color w:val="000000"/>
          <w:sz w:val="25"/>
          <w:szCs w:val="25"/>
          <w:lang w:eastAsia="ru-RU"/>
        </w:rPr>
        <w:t>Завершение налогового маневра, поэтапное снижение экспортных пошлин на нефтепродукты с одновременным повышением НДПИ увеличивают себестоимость реализуемых в российских портах судовых топлив, что приводит к потере ценовой привлекательности портов РФ и снижению объемов бункеровок в сравнении с зарубежными рынками.</w:t>
      </w:r>
    </w:p>
    <w:p w14:paraId="187709EF" w14:textId="77777777" w:rsidR="00871E9A" w:rsidRPr="008C42C2" w:rsidRDefault="00871E9A" w:rsidP="00871E9A">
      <w:pPr>
        <w:shd w:val="clear" w:color="auto" w:fill="FFFFFF"/>
        <w:spacing w:after="0"/>
        <w:ind w:firstLine="851"/>
        <w:jc w:val="both"/>
        <w:rPr>
          <w:rFonts w:ascii="Times New Roman" w:eastAsia="Times New Roman" w:hAnsi="Times New Roman" w:cs="Times New Roman"/>
          <w:color w:val="000000"/>
          <w:sz w:val="25"/>
          <w:szCs w:val="25"/>
          <w:lang w:eastAsia="ru-RU"/>
        </w:rPr>
      </w:pPr>
      <w:r w:rsidRPr="008C42C2">
        <w:rPr>
          <w:rFonts w:ascii="Times New Roman" w:eastAsia="Times New Roman" w:hAnsi="Times New Roman" w:cs="Times New Roman"/>
          <w:color w:val="000000"/>
          <w:sz w:val="25"/>
          <w:szCs w:val="25"/>
          <w:lang w:eastAsia="ru-RU"/>
        </w:rPr>
        <w:t xml:space="preserve">Рост глубины переработки нефти на российских НПЗ, при одновременном повышении маржинальности экспорта нефтепродуктов, привели к сокращению перерабатывающими предприятиями производства судовых топлив и отсутствию его ассортимента, востребованного судовладельцами. Ситуация в бункеровке усугубляется еще тем, что отсутствует необходимая </w:t>
      </w:r>
      <w:proofErr w:type="spellStart"/>
      <w:r w:rsidRPr="008C42C2">
        <w:rPr>
          <w:rFonts w:ascii="Times New Roman" w:eastAsia="Times New Roman" w:hAnsi="Times New Roman" w:cs="Times New Roman"/>
          <w:color w:val="000000"/>
          <w:sz w:val="25"/>
          <w:szCs w:val="25"/>
          <w:lang w:eastAsia="ru-RU"/>
        </w:rPr>
        <w:t>инфраструктурно</w:t>
      </w:r>
      <w:proofErr w:type="spellEnd"/>
      <w:r w:rsidRPr="008C42C2">
        <w:rPr>
          <w:rFonts w:ascii="Times New Roman" w:eastAsia="Times New Roman" w:hAnsi="Times New Roman" w:cs="Times New Roman"/>
          <w:color w:val="000000"/>
          <w:sz w:val="25"/>
          <w:szCs w:val="25"/>
          <w:lang w:eastAsia="ru-RU"/>
        </w:rPr>
        <w:t>-цифровые решения в российских портах при повышении требований покупателей к уровню и стоимости сервиса, что также непосредственно влияет на себестоимость топлива.</w:t>
      </w:r>
    </w:p>
    <w:p w14:paraId="62563DD9" w14:textId="1D83ADAB" w:rsidR="00C05F10" w:rsidRDefault="00871E9A" w:rsidP="00871E9A">
      <w:pPr>
        <w:shd w:val="clear" w:color="auto" w:fill="FFFFFF"/>
        <w:spacing w:after="0"/>
        <w:ind w:firstLine="851"/>
        <w:jc w:val="both"/>
        <w:rPr>
          <w:rFonts w:ascii="Times New Roman" w:eastAsia="Times New Roman" w:hAnsi="Times New Roman" w:cs="Times New Roman"/>
          <w:color w:val="000000"/>
          <w:sz w:val="25"/>
          <w:szCs w:val="25"/>
          <w:lang w:eastAsia="ru-RU"/>
        </w:rPr>
      </w:pPr>
      <w:r w:rsidRPr="008C42C2">
        <w:rPr>
          <w:rFonts w:ascii="Times New Roman" w:eastAsia="Times New Roman" w:hAnsi="Times New Roman" w:cs="Times New Roman"/>
          <w:color w:val="000000"/>
          <w:sz w:val="25"/>
          <w:szCs w:val="25"/>
          <w:lang w:eastAsia="ru-RU"/>
        </w:rPr>
        <w:t>Следствием указанных факторов является потеря российской бункеровочной отраслью рыночных позиций и исчерпание возможностей для дальнейшего развития бункерного рынка</w:t>
      </w:r>
      <w:r w:rsidR="00E54A64">
        <w:rPr>
          <w:rFonts w:ascii="Times New Roman" w:eastAsia="Times New Roman" w:hAnsi="Times New Roman" w:cs="Times New Roman"/>
          <w:color w:val="000000"/>
          <w:sz w:val="25"/>
          <w:szCs w:val="25"/>
          <w:lang w:eastAsia="ru-RU"/>
        </w:rPr>
        <w:t>.</w:t>
      </w:r>
    </w:p>
    <w:p w14:paraId="7CE72697" w14:textId="77777777" w:rsidR="00871E9A" w:rsidRPr="00C05F10" w:rsidRDefault="00871E9A" w:rsidP="00871E9A">
      <w:pPr>
        <w:shd w:val="clear" w:color="auto" w:fill="FFFFFF"/>
        <w:spacing w:after="0"/>
        <w:ind w:firstLine="851"/>
        <w:jc w:val="both"/>
        <w:rPr>
          <w:rFonts w:ascii="Times New Roman" w:eastAsia="Times New Roman" w:hAnsi="Times New Roman" w:cs="Times New Roman"/>
          <w:color w:val="000000"/>
          <w:sz w:val="25"/>
          <w:szCs w:val="25"/>
          <w:lang w:eastAsia="ru-RU"/>
        </w:rPr>
      </w:pPr>
      <w:r w:rsidRPr="00C05F10">
        <w:rPr>
          <w:rFonts w:ascii="Times New Roman" w:eastAsia="Times New Roman" w:hAnsi="Times New Roman" w:cs="Times New Roman"/>
          <w:color w:val="000000"/>
          <w:sz w:val="25"/>
          <w:szCs w:val="25"/>
          <w:lang w:eastAsia="ru-RU"/>
        </w:rPr>
        <w:t xml:space="preserve">Вместе с тем, судовое топливо и мазут, обращающиеся на рынке, должны соответствовать техническому регламенту Таможенного союза «О требованиях к автомобильному и авиационному бензину, дизельному и судовому топливу, топливу для реактивных двигателей, мазуту» (далее - ТР ТС 013/2011), утвержденному решением Комиссии Таможенного союза от 18 октября 2011 № 826. </w:t>
      </w:r>
    </w:p>
    <w:p w14:paraId="4AC06C5C" w14:textId="77777777" w:rsidR="00871E9A" w:rsidRPr="00C05F10" w:rsidRDefault="00871E9A" w:rsidP="00871E9A">
      <w:pPr>
        <w:shd w:val="clear" w:color="auto" w:fill="FFFFFF"/>
        <w:spacing w:after="0"/>
        <w:ind w:firstLine="851"/>
        <w:jc w:val="both"/>
        <w:rPr>
          <w:rFonts w:ascii="Times New Roman" w:eastAsia="Times New Roman" w:hAnsi="Times New Roman" w:cs="Times New Roman"/>
          <w:color w:val="000000"/>
          <w:sz w:val="25"/>
          <w:szCs w:val="25"/>
          <w:lang w:eastAsia="ru-RU"/>
        </w:rPr>
      </w:pPr>
      <w:r w:rsidRPr="00C05F10">
        <w:rPr>
          <w:rFonts w:ascii="Times New Roman" w:eastAsia="Times New Roman" w:hAnsi="Times New Roman" w:cs="Times New Roman"/>
          <w:color w:val="000000"/>
          <w:sz w:val="25"/>
          <w:szCs w:val="25"/>
          <w:lang w:eastAsia="ru-RU"/>
        </w:rPr>
        <w:t>В соответствии с Решением Совета ЕЭК от 19 декабря 2019 г. № 108 установлено, что производство и выпуск в обращение судового топлива с массовой долей серы не более 1,5% допускается для судов, участвующих во внутренних водных перевозках, до 2024 года.</w:t>
      </w:r>
    </w:p>
    <w:p w14:paraId="5309E8DA" w14:textId="77777777" w:rsidR="00871E9A" w:rsidRPr="00C05F10" w:rsidRDefault="00871E9A" w:rsidP="00871E9A">
      <w:pPr>
        <w:shd w:val="clear" w:color="auto" w:fill="FFFFFF"/>
        <w:spacing w:after="0"/>
        <w:ind w:firstLine="851"/>
        <w:jc w:val="both"/>
        <w:rPr>
          <w:rFonts w:ascii="Times New Roman" w:eastAsia="Times New Roman" w:hAnsi="Times New Roman" w:cs="Times New Roman"/>
          <w:color w:val="000000"/>
          <w:sz w:val="25"/>
          <w:szCs w:val="25"/>
          <w:lang w:eastAsia="ru-RU"/>
        </w:rPr>
      </w:pPr>
      <w:r w:rsidRPr="00C05F10">
        <w:rPr>
          <w:rFonts w:ascii="Times New Roman" w:eastAsia="Times New Roman" w:hAnsi="Times New Roman" w:cs="Times New Roman"/>
          <w:color w:val="000000"/>
          <w:sz w:val="25"/>
          <w:szCs w:val="25"/>
          <w:lang w:eastAsia="ru-RU"/>
        </w:rPr>
        <w:t xml:space="preserve">Таким образом, с 2024 года вступит в силу запрет на производство и выпуск в обращение судового топлива с массовой долей серы более 0,5%, что с учетом сокращения предложения </w:t>
      </w:r>
      <w:proofErr w:type="spellStart"/>
      <w:r w:rsidRPr="00C05F10">
        <w:rPr>
          <w:rFonts w:ascii="Times New Roman" w:eastAsia="Times New Roman" w:hAnsi="Times New Roman" w:cs="Times New Roman"/>
          <w:color w:val="000000"/>
          <w:sz w:val="25"/>
          <w:szCs w:val="25"/>
          <w:lang w:eastAsia="ru-RU"/>
        </w:rPr>
        <w:lastRenderedPageBreak/>
        <w:t>низкосернистого</w:t>
      </w:r>
      <w:proofErr w:type="spellEnd"/>
      <w:r w:rsidRPr="00C05F10">
        <w:rPr>
          <w:rFonts w:ascii="Times New Roman" w:eastAsia="Times New Roman" w:hAnsi="Times New Roman" w:cs="Times New Roman"/>
          <w:color w:val="000000"/>
          <w:sz w:val="25"/>
          <w:szCs w:val="25"/>
          <w:lang w:eastAsia="ru-RU"/>
        </w:rPr>
        <w:t xml:space="preserve"> судового топлива в российских портах (в том числе и в связи с модернизацией НПЗ приводящей к  снижению доли остаточных темных видов топлив, являющихся основой для производства судового топлива) неизбежно негативно повлияет на перевозки водным транспортом в Российской Федерации.</w:t>
      </w:r>
    </w:p>
    <w:p w14:paraId="56476313" w14:textId="77777777" w:rsidR="00A369F3" w:rsidRDefault="00871E9A" w:rsidP="00871E9A">
      <w:pPr>
        <w:shd w:val="clear" w:color="auto" w:fill="FFFFFF"/>
        <w:spacing w:after="0"/>
        <w:ind w:firstLine="851"/>
        <w:jc w:val="both"/>
        <w:rPr>
          <w:rFonts w:ascii="Times New Roman" w:eastAsia="Times New Roman" w:hAnsi="Times New Roman" w:cs="Times New Roman"/>
          <w:color w:val="000000"/>
          <w:sz w:val="25"/>
          <w:szCs w:val="25"/>
          <w:lang w:eastAsia="ru-RU"/>
        </w:rPr>
      </w:pPr>
      <w:r w:rsidRPr="008C42C2">
        <w:rPr>
          <w:rFonts w:ascii="Times New Roman" w:eastAsia="Times New Roman" w:hAnsi="Times New Roman" w:cs="Times New Roman"/>
          <w:color w:val="000000"/>
          <w:sz w:val="25"/>
          <w:szCs w:val="25"/>
          <w:lang w:eastAsia="ru-RU"/>
        </w:rPr>
        <w:t>Следует также учитывать, что негативные последствия для российских судоходных и бункеровочных компаний по мере завершения налогового маневра будут нарастать.</w:t>
      </w:r>
      <w:r w:rsidR="00A369F3">
        <w:rPr>
          <w:rFonts w:ascii="Times New Roman" w:eastAsia="Times New Roman" w:hAnsi="Times New Roman" w:cs="Times New Roman"/>
          <w:color w:val="000000"/>
          <w:sz w:val="25"/>
          <w:szCs w:val="25"/>
          <w:lang w:eastAsia="ru-RU"/>
        </w:rPr>
        <w:t xml:space="preserve"> </w:t>
      </w:r>
    </w:p>
    <w:p w14:paraId="3E36CE75" w14:textId="08A69F25" w:rsidR="00871E9A" w:rsidRPr="008C42C2" w:rsidRDefault="00A369F3" w:rsidP="00871E9A">
      <w:pPr>
        <w:shd w:val="clear" w:color="auto" w:fill="FFFFFF"/>
        <w:spacing w:after="0"/>
        <w:ind w:firstLine="851"/>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И наконец, на российский рынок бункеровки судов в настоящее время оказывает негативное влияние санкционное давление со стороны ряда недружественных Российской Федерации государств</w:t>
      </w:r>
      <w:r w:rsidR="005D7077">
        <w:rPr>
          <w:rFonts w:ascii="Times New Roman" w:eastAsia="Times New Roman" w:hAnsi="Times New Roman" w:cs="Times New Roman"/>
          <w:color w:val="000000"/>
          <w:sz w:val="25"/>
          <w:szCs w:val="25"/>
          <w:lang w:eastAsia="ru-RU"/>
        </w:rPr>
        <w:t>.</w:t>
      </w:r>
    </w:p>
    <w:p w14:paraId="2EC4241C" w14:textId="77777777" w:rsidR="001971D2" w:rsidRDefault="001971D2" w:rsidP="00871E9A">
      <w:pPr>
        <w:pStyle w:val="228bf8a64b8551e1msonormal"/>
        <w:shd w:val="clear" w:color="auto" w:fill="FFFFFF"/>
        <w:spacing w:before="0" w:beforeAutospacing="0" w:after="0" w:afterAutospacing="0" w:line="276" w:lineRule="auto"/>
        <w:ind w:firstLine="851"/>
        <w:jc w:val="both"/>
        <w:rPr>
          <w:color w:val="000000"/>
          <w:sz w:val="25"/>
          <w:szCs w:val="25"/>
        </w:rPr>
      </w:pPr>
    </w:p>
    <w:p w14:paraId="579B417C" w14:textId="75BF6A9A" w:rsidR="00871E9A" w:rsidRDefault="00871E9A" w:rsidP="00871E9A">
      <w:pPr>
        <w:pStyle w:val="228bf8a64b8551e1msonormal"/>
        <w:shd w:val="clear" w:color="auto" w:fill="FFFFFF"/>
        <w:spacing w:before="0" w:beforeAutospacing="0" w:after="0" w:afterAutospacing="0" w:line="276" w:lineRule="auto"/>
        <w:ind w:firstLine="851"/>
        <w:jc w:val="both"/>
        <w:rPr>
          <w:color w:val="000000"/>
          <w:sz w:val="25"/>
          <w:szCs w:val="25"/>
        </w:rPr>
      </w:pPr>
      <w:r w:rsidRPr="008C42C2">
        <w:rPr>
          <w:color w:val="000000"/>
          <w:sz w:val="25"/>
          <w:szCs w:val="25"/>
        </w:rPr>
        <w:t xml:space="preserve">В связи с изложенным, </w:t>
      </w:r>
      <w:r w:rsidR="00461590">
        <w:rPr>
          <w:color w:val="000000"/>
          <w:sz w:val="25"/>
          <w:szCs w:val="25"/>
        </w:rPr>
        <w:t xml:space="preserve">Саморегулируемая организация «Российская Ассоциация Морских и Речных Бункеровщиков» </w:t>
      </w:r>
      <w:r w:rsidRPr="008C42C2">
        <w:rPr>
          <w:color w:val="000000"/>
          <w:sz w:val="25"/>
          <w:szCs w:val="25"/>
        </w:rPr>
        <w:t>считае</w:t>
      </w:r>
      <w:r w:rsidR="00461590">
        <w:rPr>
          <w:color w:val="000000"/>
          <w:sz w:val="25"/>
          <w:szCs w:val="25"/>
        </w:rPr>
        <w:t>т</w:t>
      </w:r>
      <w:r w:rsidRPr="008C42C2">
        <w:rPr>
          <w:color w:val="000000"/>
          <w:sz w:val="25"/>
          <w:szCs w:val="25"/>
        </w:rPr>
        <w:t xml:space="preserve"> необходимым</w:t>
      </w:r>
      <w:r w:rsidR="008D480C">
        <w:rPr>
          <w:color w:val="000000"/>
          <w:sz w:val="25"/>
          <w:szCs w:val="25"/>
        </w:rPr>
        <w:t>,</w:t>
      </w:r>
      <w:r w:rsidRPr="008C42C2">
        <w:rPr>
          <w:color w:val="000000"/>
          <w:sz w:val="25"/>
          <w:szCs w:val="25"/>
        </w:rPr>
        <w:t xml:space="preserve"> с целью сдерживания роста цен на </w:t>
      </w:r>
      <w:proofErr w:type="spellStart"/>
      <w:r w:rsidRPr="008C42C2">
        <w:rPr>
          <w:color w:val="000000"/>
          <w:sz w:val="25"/>
          <w:szCs w:val="25"/>
        </w:rPr>
        <w:t>низкосернистое</w:t>
      </w:r>
      <w:proofErr w:type="spellEnd"/>
      <w:r w:rsidRPr="008C42C2">
        <w:rPr>
          <w:color w:val="000000"/>
          <w:sz w:val="25"/>
          <w:szCs w:val="25"/>
        </w:rPr>
        <w:t xml:space="preserve"> судовое топливо и во избежание дальнейшего сокращения предложения </w:t>
      </w:r>
      <w:proofErr w:type="spellStart"/>
      <w:r w:rsidRPr="008C42C2">
        <w:rPr>
          <w:color w:val="000000"/>
          <w:sz w:val="25"/>
          <w:szCs w:val="25"/>
        </w:rPr>
        <w:t>низкосернистого</w:t>
      </w:r>
      <w:proofErr w:type="spellEnd"/>
      <w:r w:rsidRPr="008C42C2">
        <w:rPr>
          <w:color w:val="000000"/>
          <w:sz w:val="25"/>
          <w:szCs w:val="25"/>
        </w:rPr>
        <w:t xml:space="preserve"> судового топлива в российских портах</w:t>
      </w:r>
      <w:r w:rsidR="008D480C">
        <w:rPr>
          <w:color w:val="000000"/>
          <w:sz w:val="25"/>
          <w:szCs w:val="25"/>
        </w:rPr>
        <w:t>,</w:t>
      </w:r>
      <w:r w:rsidRPr="008C42C2">
        <w:rPr>
          <w:color w:val="000000"/>
          <w:sz w:val="25"/>
          <w:szCs w:val="25"/>
        </w:rPr>
        <w:t xml:space="preserve"> </w:t>
      </w:r>
      <w:r w:rsidRPr="001971D2">
        <w:rPr>
          <w:b/>
          <w:bCs/>
          <w:color w:val="000000"/>
          <w:sz w:val="25"/>
          <w:szCs w:val="25"/>
        </w:rPr>
        <w:t>принять следующие меры</w:t>
      </w:r>
      <w:r w:rsidR="00A3551D">
        <w:rPr>
          <w:b/>
          <w:bCs/>
          <w:color w:val="000000"/>
          <w:sz w:val="25"/>
          <w:szCs w:val="25"/>
        </w:rPr>
        <w:t xml:space="preserve"> поддержки</w:t>
      </w:r>
      <w:r w:rsidR="00461590">
        <w:rPr>
          <w:b/>
          <w:bCs/>
          <w:color w:val="000000"/>
          <w:sz w:val="25"/>
          <w:szCs w:val="25"/>
        </w:rPr>
        <w:t xml:space="preserve"> участников российского рынка бункеровки судов</w:t>
      </w:r>
      <w:r w:rsidRPr="008C42C2">
        <w:rPr>
          <w:color w:val="000000"/>
          <w:sz w:val="25"/>
          <w:szCs w:val="25"/>
        </w:rPr>
        <w:t>:</w:t>
      </w:r>
    </w:p>
    <w:p w14:paraId="2F6E34DD" w14:textId="77777777" w:rsidR="009D7ABE" w:rsidRPr="008C42C2" w:rsidRDefault="009D7ABE" w:rsidP="00871E9A">
      <w:pPr>
        <w:pStyle w:val="228bf8a64b8551e1msonormal"/>
        <w:shd w:val="clear" w:color="auto" w:fill="FFFFFF"/>
        <w:spacing w:before="0" w:beforeAutospacing="0" w:after="0" w:afterAutospacing="0" w:line="276" w:lineRule="auto"/>
        <w:ind w:firstLine="851"/>
        <w:jc w:val="both"/>
        <w:rPr>
          <w:color w:val="000000"/>
          <w:sz w:val="25"/>
          <w:szCs w:val="25"/>
        </w:rPr>
      </w:pPr>
    </w:p>
    <w:p w14:paraId="2B7A4062" w14:textId="22353FB4" w:rsidR="00B03E05" w:rsidRDefault="00B03E05" w:rsidP="00B03E05">
      <w:pPr>
        <w:pStyle w:val="228bf8a64b8551e1msonormal"/>
        <w:numPr>
          <w:ilvl w:val="0"/>
          <w:numId w:val="8"/>
        </w:numPr>
        <w:shd w:val="clear" w:color="auto" w:fill="FFFFFF"/>
        <w:spacing w:before="0" w:beforeAutospacing="0" w:after="0" w:afterAutospacing="0" w:line="276" w:lineRule="auto"/>
        <w:jc w:val="both"/>
        <w:rPr>
          <w:color w:val="000000"/>
          <w:sz w:val="25"/>
          <w:szCs w:val="25"/>
        </w:rPr>
      </w:pPr>
      <w:r w:rsidRPr="000A1157">
        <w:rPr>
          <w:color w:val="000000"/>
          <w:sz w:val="25"/>
          <w:szCs w:val="25"/>
          <w:u w:val="single"/>
        </w:rPr>
        <w:t>В</w:t>
      </w:r>
      <w:r w:rsidR="00E54A64" w:rsidRPr="000A1157">
        <w:rPr>
          <w:color w:val="000000"/>
          <w:sz w:val="25"/>
          <w:szCs w:val="25"/>
          <w:u w:val="single"/>
        </w:rPr>
        <w:t>нес</w:t>
      </w:r>
      <w:r w:rsidR="000A1157" w:rsidRPr="000A1157">
        <w:rPr>
          <w:color w:val="000000"/>
          <w:sz w:val="25"/>
          <w:szCs w:val="25"/>
          <w:u w:val="single"/>
        </w:rPr>
        <w:t>ение</w:t>
      </w:r>
      <w:r w:rsidR="00E54A64" w:rsidRPr="000A1157">
        <w:rPr>
          <w:color w:val="000000"/>
          <w:sz w:val="25"/>
          <w:szCs w:val="25"/>
          <w:u w:val="single"/>
        </w:rPr>
        <w:t xml:space="preserve"> </w:t>
      </w:r>
      <w:r w:rsidR="00563E9E" w:rsidRPr="000A1157">
        <w:rPr>
          <w:color w:val="000000"/>
          <w:sz w:val="25"/>
          <w:szCs w:val="25"/>
          <w:u w:val="single"/>
        </w:rPr>
        <w:t>следующи</w:t>
      </w:r>
      <w:r w:rsidR="000A1157" w:rsidRPr="000A1157">
        <w:rPr>
          <w:color w:val="000000"/>
          <w:sz w:val="25"/>
          <w:szCs w:val="25"/>
          <w:u w:val="single"/>
        </w:rPr>
        <w:t>х</w:t>
      </w:r>
      <w:r w:rsidR="00563E9E" w:rsidRPr="000A1157">
        <w:rPr>
          <w:color w:val="000000"/>
          <w:sz w:val="25"/>
          <w:szCs w:val="25"/>
          <w:u w:val="single"/>
        </w:rPr>
        <w:t xml:space="preserve"> </w:t>
      </w:r>
      <w:r w:rsidR="00E54A64" w:rsidRPr="000A1157">
        <w:rPr>
          <w:color w:val="000000"/>
          <w:sz w:val="25"/>
          <w:szCs w:val="25"/>
          <w:u w:val="single"/>
        </w:rPr>
        <w:t>изменени</w:t>
      </w:r>
      <w:r w:rsidR="000A1157" w:rsidRPr="000A1157">
        <w:rPr>
          <w:color w:val="000000"/>
          <w:sz w:val="25"/>
          <w:szCs w:val="25"/>
          <w:u w:val="single"/>
        </w:rPr>
        <w:t>й</w:t>
      </w:r>
      <w:r w:rsidR="00E54A64" w:rsidRPr="000A1157">
        <w:rPr>
          <w:color w:val="000000"/>
          <w:sz w:val="25"/>
          <w:szCs w:val="25"/>
          <w:u w:val="single"/>
        </w:rPr>
        <w:t xml:space="preserve"> в </w:t>
      </w:r>
      <w:r w:rsidRPr="000A1157">
        <w:rPr>
          <w:color w:val="000000"/>
          <w:sz w:val="25"/>
          <w:szCs w:val="25"/>
          <w:u w:val="single"/>
        </w:rPr>
        <w:t xml:space="preserve">налоговое </w:t>
      </w:r>
      <w:r w:rsidR="00E54A64" w:rsidRPr="000A1157">
        <w:rPr>
          <w:color w:val="000000"/>
          <w:sz w:val="25"/>
          <w:szCs w:val="25"/>
          <w:u w:val="single"/>
        </w:rPr>
        <w:t>законодательство</w:t>
      </w:r>
      <w:r>
        <w:rPr>
          <w:color w:val="000000"/>
          <w:sz w:val="25"/>
          <w:szCs w:val="25"/>
        </w:rPr>
        <w:t>:</w:t>
      </w:r>
    </w:p>
    <w:p w14:paraId="7A2C09DC" w14:textId="0402F384" w:rsidR="00871E9A" w:rsidRDefault="00B03E05" w:rsidP="00B03E05">
      <w:pPr>
        <w:pStyle w:val="228bf8a64b8551e1msonormal"/>
        <w:shd w:val="clear" w:color="auto" w:fill="FFFFFF"/>
        <w:spacing w:before="0" w:beforeAutospacing="0" w:after="0" w:afterAutospacing="0" w:line="276" w:lineRule="auto"/>
        <w:ind w:left="1211"/>
        <w:jc w:val="both"/>
        <w:rPr>
          <w:color w:val="000000"/>
          <w:sz w:val="25"/>
          <w:szCs w:val="25"/>
        </w:rPr>
      </w:pPr>
      <w:r>
        <w:rPr>
          <w:color w:val="000000"/>
          <w:sz w:val="25"/>
          <w:szCs w:val="25"/>
        </w:rPr>
        <w:t>- либо</w:t>
      </w:r>
      <w:r w:rsidR="00E54A64">
        <w:rPr>
          <w:color w:val="000000"/>
          <w:sz w:val="25"/>
          <w:szCs w:val="25"/>
        </w:rPr>
        <w:t xml:space="preserve"> в части исключения судового топлива из под требования о начислении акциза в отношении средних дистиллятов</w:t>
      </w:r>
      <w:r w:rsidR="00563E9E">
        <w:rPr>
          <w:color w:val="000000"/>
          <w:sz w:val="25"/>
          <w:szCs w:val="25"/>
        </w:rPr>
        <w:t xml:space="preserve">, </w:t>
      </w:r>
      <w:r w:rsidR="00E54A64">
        <w:rPr>
          <w:color w:val="000000"/>
          <w:sz w:val="25"/>
          <w:szCs w:val="25"/>
        </w:rPr>
        <w:t xml:space="preserve">либо </w:t>
      </w:r>
      <w:r>
        <w:rPr>
          <w:color w:val="000000"/>
          <w:sz w:val="25"/>
          <w:szCs w:val="25"/>
        </w:rPr>
        <w:t xml:space="preserve">в части </w:t>
      </w:r>
      <w:r w:rsidR="00E54A64">
        <w:rPr>
          <w:color w:val="000000"/>
          <w:sz w:val="25"/>
          <w:szCs w:val="25"/>
        </w:rPr>
        <w:t>и</w:t>
      </w:r>
      <w:r w:rsidR="00871E9A" w:rsidRPr="008C42C2">
        <w:rPr>
          <w:color w:val="000000"/>
          <w:sz w:val="25"/>
          <w:szCs w:val="25"/>
        </w:rPr>
        <w:t>змен</w:t>
      </w:r>
      <w:r>
        <w:rPr>
          <w:color w:val="000000"/>
          <w:sz w:val="25"/>
          <w:szCs w:val="25"/>
        </w:rPr>
        <w:t>ен</w:t>
      </w:r>
      <w:r w:rsidR="00E54A64">
        <w:rPr>
          <w:color w:val="000000"/>
          <w:sz w:val="25"/>
          <w:szCs w:val="25"/>
        </w:rPr>
        <w:t>и</w:t>
      </w:r>
      <w:r>
        <w:rPr>
          <w:color w:val="000000"/>
          <w:sz w:val="25"/>
          <w:szCs w:val="25"/>
        </w:rPr>
        <w:t>я</w:t>
      </w:r>
      <w:r w:rsidR="00871E9A" w:rsidRPr="008C42C2">
        <w:rPr>
          <w:color w:val="000000"/>
          <w:sz w:val="25"/>
          <w:szCs w:val="25"/>
        </w:rPr>
        <w:t xml:space="preserve"> поряд</w:t>
      </w:r>
      <w:r w:rsidR="00563E9E">
        <w:rPr>
          <w:color w:val="000000"/>
          <w:sz w:val="25"/>
          <w:szCs w:val="25"/>
        </w:rPr>
        <w:t>ка</w:t>
      </w:r>
      <w:r w:rsidR="00871E9A" w:rsidRPr="008C42C2">
        <w:rPr>
          <w:color w:val="000000"/>
          <w:sz w:val="25"/>
          <w:szCs w:val="25"/>
        </w:rPr>
        <w:t xml:space="preserve"> налогового администрирования </w:t>
      </w:r>
      <w:r w:rsidR="008444E4">
        <w:rPr>
          <w:color w:val="000000"/>
          <w:sz w:val="25"/>
          <w:szCs w:val="25"/>
        </w:rPr>
        <w:t xml:space="preserve">предусматривающего </w:t>
      </w:r>
      <w:r>
        <w:rPr>
          <w:color w:val="000000"/>
          <w:sz w:val="25"/>
          <w:szCs w:val="25"/>
        </w:rPr>
        <w:t>как существенно</w:t>
      </w:r>
      <w:r w:rsidR="008444E4">
        <w:rPr>
          <w:color w:val="000000"/>
          <w:sz w:val="25"/>
          <w:szCs w:val="25"/>
        </w:rPr>
        <w:t>е</w:t>
      </w:r>
      <w:r>
        <w:rPr>
          <w:color w:val="000000"/>
          <w:sz w:val="25"/>
          <w:szCs w:val="25"/>
        </w:rPr>
        <w:t xml:space="preserve"> сокращени</w:t>
      </w:r>
      <w:r w:rsidR="008444E4">
        <w:rPr>
          <w:color w:val="000000"/>
          <w:sz w:val="25"/>
          <w:szCs w:val="25"/>
        </w:rPr>
        <w:t>е</w:t>
      </w:r>
      <w:r>
        <w:rPr>
          <w:color w:val="000000"/>
          <w:sz w:val="25"/>
          <w:szCs w:val="25"/>
        </w:rPr>
        <w:t xml:space="preserve"> сроков возмещения акциза</w:t>
      </w:r>
      <w:r w:rsidR="008444E4">
        <w:rPr>
          <w:color w:val="000000"/>
          <w:sz w:val="25"/>
          <w:szCs w:val="25"/>
        </w:rPr>
        <w:t xml:space="preserve"> и прим</w:t>
      </w:r>
      <w:r w:rsidR="00871E9A" w:rsidRPr="008C42C2">
        <w:rPr>
          <w:color w:val="000000"/>
          <w:sz w:val="25"/>
          <w:szCs w:val="25"/>
        </w:rPr>
        <w:t>ен</w:t>
      </w:r>
      <w:r w:rsidR="008444E4">
        <w:rPr>
          <w:color w:val="000000"/>
          <w:sz w:val="25"/>
          <w:szCs w:val="25"/>
        </w:rPr>
        <w:t>ен</w:t>
      </w:r>
      <w:r w:rsidR="00871E9A" w:rsidRPr="008C42C2">
        <w:rPr>
          <w:color w:val="000000"/>
          <w:sz w:val="25"/>
          <w:szCs w:val="25"/>
        </w:rPr>
        <w:t>и</w:t>
      </w:r>
      <w:r w:rsidR="008444E4">
        <w:rPr>
          <w:color w:val="000000"/>
          <w:sz w:val="25"/>
          <w:szCs w:val="25"/>
        </w:rPr>
        <w:t>е</w:t>
      </w:r>
      <w:r w:rsidR="00871E9A" w:rsidRPr="008C42C2">
        <w:rPr>
          <w:color w:val="000000"/>
          <w:sz w:val="25"/>
          <w:szCs w:val="25"/>
        </w:rPr>
        <w:t xml:space="preserve"> вычета акциза при осуществлении операций с использованием  средних дистиллятов, получаемых путем  смешения нефтепродуктов для получения </w:t>
      </w:r>
      <w:proofErr w:type="spellStart"/>
      <w:r w:rsidR="00871E9A" w:rsidRPr="008C42C2">
        <w:rPr>
          <w:color w:val="000000"/>
          <w:sz w:val="25"/>
          <w:szCs w:val="25"/>
        </w:rPr>
        <w:t>низкосернистого</w:t>
      </w:r>
      <w:proofErr w:type="spellEnd"/>
      <w:r w:rsidR="00871E9A" w:rsidRPr="008C42C2">
        <w:rPr>
          <w:color w:val="000000"/>
          <w:sz w:val="25"/>
          <w:szCs w:val="25"/>
        </w:rPr>
        <w:t xml:space="preserve"> судового топлива, соответствующего требованиям Правила 14 Приложения VI к Конвенции МАРПОЛ</w:t>
      </w:r>
      <w:r w:rsidR="00563E9E">
        <w:rPr>
          <w:color w:val="000000"/>
          <w:sz w:val="25"/>
          <w:szCs w:val="25"/>
        </w:rPr>
        <w:t xml:space="preserve"> (</w:t>
      </w:r>
      <w:r w:rsidR="00871E9A" w:rsidRPr="00563E9E">
        <w:rPr>
          <w:i/>
          <w:iCs/>
          <w:color w:val="000000"/>
          <w:sz w:val="25"/>
          <w:szCs w:val="25"/>
        </w:rPr>
        <w:t xml:space="preserve">что даст возможность российским судоходным и бункеровочным компаниям, участвующим в обороте полученного смешением </w:t>
      </w:r>
      <w:proofErr w:type="spellStart"/>
      <w:r w:rsidR="00871E9A" w:rsidRPr="00563E9E">
        <w:rPr>
          <w:i/>
          <w:iCs/>
          <w:color w:val="000000"/>
          <w:sz w:val="25"/>
          <w:szCs w:val="25"/>
        </w:rPr>
        <w:t>низкосернистого</w:t>
      </w:r>
      <w:proofErr w:type="spellEnd"/>
      <w:r w:rsidR="00871E9A" w:rsidRPr="00563E9E">
        <w:rPr>
          <w:i/>
          <w:iCs/>
          <w:color w:val="000000"/>
          <w:sz w:val="25"/>
          <w:szCs w:val="25"/>
        </w:rPr>
        <w:t xml:space="preserve"> судового топлива,</w:t>
      </w:r>
      <w:r w:rsidR="00563E9E" w:rsidRPr="00563E9E">
        <w:rPr>
          <w:i/>
          <w:iCs/>
          <w:color w:val="000000"/>
          <w:sz w:val="25"/>
          <w:szCs w:val="25"/>
        </w:rPr>
        <w:t xml:space="preserve"> применять вычет по акцизу на вовлеченные в смешение при получении судового топлива средние дистилляты</w:t>
      </w:r>
      <w:r w:rsidR="00297180">
        <w:rPr>
          <w:i/>
          <w:iCs/>
          <w:color w:val="000000"/>
          <w:sz w:val="25"/>
          <w:szCs w:val="25"/>
        </w:rPr>
        <w:t>,</w:t>
      </w:r>
      <w:r w:rsidR="00563E9E" w:rsidRPr="00563E9E">
        <w:rPr>
          <w:i/>
          <w:iCs/>
          <w:color w:val="000000"/>
          <w:sz w:val="25"/>
          <w:szCs w:val="25"/>
        </w:rPr>
        <w:t xml:space="preserve"> </w:t>
      </w:r>
      <w:r w:rsidR="00297180" w:rsidRPr="00563E9E">
        <w:rPr>
          <w:i/>
          <w:iCs/>
          <w:color w:val="000000"/>
          <w:sz w:val="25"/>
          <w:szCs w:val="25"/>
        </w:rPr>
        <w:t>снижа</w:t>
      </w:r>
      <w:r w:rsidR="00297180">
        <w:rPr>
          <w:i/>
          <w:iCs/>
          <w:color w:val="000000"/>
          <w:sz w:val="25"/>
          <w:szCs w:val="25"/>
        </w:rPr>
        <w:t>я</w:t>
      </w:r>
      <w:r w:rsidR="00297180" w:rsidRPr="00563E9E">
        <w:rPr>
          <w:i/>
          <w:iCs/>
          <w:color w:val="000000"/>
          <w:sz w:val="25"/>
          <w:szCs w:val="25"/>
        </w:rPr>
        <w:t xml:space="preserve"> </w:t>
      </w:r>
      <w:r w:rsidR="00297180">
        <w:rPr>
          <w:i/>
          <w:iCs/>
          <w:color w:val="000000"/>
          <w:sz w:val="25"/>
          <w:szCs w:val="25"/>
        </w:rPr>
        <w:t>сто</w:t>
      </w:r>
      <w:r w:rsidR="00297180" w:rsidRPr="00563E9E">
        <w:rPr>
          <w:i/>
          <w:iCs/>
          <w:color w:val="000000"/>
          <w:sz w:val="25"/>
          <w:szCs w:val="25"/>
        </w:rPr>
        <w:t>имость</w:t>
      </w:r>
      <w:r w:rsidR="00297180">
        <w:rPr>
          <w:i/>
          <w:iCs/>
          <w:color w:val="000000"/>
          <w:sz w:val="25"/>
          <w:szCs w:val="25"/>
        </w:rPr>
        <w:t xml:space="preserve"> судового топлива и увеличивая его предложение на рынке</w:t>
      </w:r>
      <w:r w:rsidR="00563E9E">
        <w:rPr>
          <w:color w:val="000000"/>
          <w:sz w:val="25"/>
          <w:szCs w:val="25"/>
        </w:rPr>
        <w:t>)</w:t>
      </w:r>
      <w:r w:rsidR="00871E9A" w:rsidRPr="008C42C2">
        <w:rPr>
          <w:color w:val="000000"/>
          <w:sz w:val="25"/>
          <w:szCs w:val="25"/>
        </w:rPr>
        <w:t>;</w:t>
      </w:r>
    </w:p>
    <w:p w14:paraId="528FC3B6" w14:textId="303C65CB" w:rsidR="00B03E05" w:rsidRDefault="00B03E05" w:rsidP="00B03E05">
      <w:pPr>
        <w:pStyle w:val="228bf8a64b8551e1msonormal"/>
        <w:shd w:val="clear" w:color="auto" w:fill="FFFFFF"/>
        <w:spacing w:before="0" w:beforeAutospacing="0" w:after="0" w:afterAutospacing="0" w:line="276" w:lineRule="auto"/>
        <w:ind w:left="1211"/>
        <w:jc w:val="both"/>
        <w:rPr>
          <w:color w:val="000000"/>
          <w:sz w:val="25"/>
          <w:szCs w:val="25"/>
        </w:rPr>
      </w:pPr>
      <w:r>
        <w:rPr>
          <w:color w:val="000000"/>
          <w:sz w:val="25"/>
          <w:szCs w:val="25"/>
        </w:rPr>
        <w:t xml:space="preserve">- </w:t>
      </w:r>
      <w:r w:rsidR="00563E9E">
        <w:rPr>
          <w:color w:val="000000"/>
          <w:sz w:val="25"/>
          <w:szCs w:val="25"/>
        </w:rPr>
        <w:t xml:space="preserve">в части </w:t>
      </w:r>
      <w:r w:rsidRPr="00B03E05">
        <w:rPr>
          <w:color w:val="000000"/>
          <w:sz w:val="25"/>
          <w:szCs w:val="25"/>
        </w:rPr>
        <w:t>закреп</w:t>
      </w:r>
      <w:r w:rsidR="00563E9E">
        <w:rPr>
          <w:color w:val="000000"/>
          <w:sz w:val="25"/>
          <w:szCs w:val="25"/>
        </w:rPr>
        <w:t>ления</w:t>
      </w:r>
      <w:r w:rsidRPr="00B03E05">
        <w:rPr>
          <w:color w:val="000000"/>
          <w:sz w:val="25"/>
          <w:szCs w:val="25"/>
        </w:rPr>
        <w:t xml:space="preserve"> возможност</w:t>
      </w:r>
      <w:r w:rsidR="00563E9E">
        <w:rPr>
          <w:color w:val="000000"/>
          <w:sz w:val="25"/>
          <w:szCs w:val="25"/>
        </w:rPr>
        <w:t>и</w:t>
      </w:r>
      <w:r w:rsidRPr="00B03E05">
        <w:rPr>
          <w:color w:val="000000"/>
          <w:sz w:val="25"/>
          <w:szCs w:val="25"/>
        </w:rPr>
        <w:t>  применения вычета по акцизу на дизельное топливо, при его вовлечении в смешение наряду со средними дистиллятами при получении судового топлива</w:t>
      </w:r>
      <w:r w:rsidR="00563E9E">
        <w:rPr>
          <w:color w:val="000000"/>
          <w:sz w:val="25"/>
          <w:szCs w:val="25"/>
        </w:rPr>
        <w:t xml:space="preserve"> (</w:t>
      </w:r>
      <w:r w:rsidR="00563E9E" w:rsidRPr="00563E9E">
        <w:rPr>
          <w:i/>
          <w:iCs/>
          <w:color w:val="000000"/>
          <w:sz w:val="25"/>
          <w:szCs w:val="25"/>
        </w:rPr>
        <w:t xml:space="preserve">что даст возможность российским судоходным и бункеровочным компаниям, участвующим в обороте полученного смешением </w:t>
      </w:r>
      <w:proofErr w:type="spellStart"/>
      <w:r w:rsidR="00563E9E" w:rsidRPr="00563E9E">
        <w:rPr>
          <w:i/>
          <w:iCs/>
          <w:color w:val="000000"/>
          <w:sz w:val="25"/>
          <w:szCs w:val="25"/>
        </w:rPr>
        <w:t>низкосернистого</w:t>
      </w:r>
      <w:proofErr w:type="spellEnd"/>
      <w:r w:rsidR="00563E9E" w:rsidRPr="00563E9E">
        <w:rPr>
          <w:i/>
          <w:iCs/>
          <w:color w:val="000000"/>
          <w:sz w:val="25"/>
          <w:szCs w:val="25"/>
        </w:rPr>
        <w:t xml:space="preserve"> судового топлива, применять вычет по акцизу на вовлеченн</w:t>
      </w:r>
      <w:r w:rsidR="00297180">
        <w:rPr>
          <w:i/>
          <w:iCs/>
          <w:color w:val="000000"/>
          <w:sz w:val="25"/>
          <w:szCs w:val="25"/>
        </w:rPr>
        <w:t>ое</w:t>
      </w:r>
      <w:r w:rsidR="00563E9E" w:rsidRPr="00563E9E">
        <w:rPr>
          <w:i/>
          <w:iCs/>
          <w:color w:val="000000"/>
          <w:sz w:val="25"/>
          <w:szCs w:val="25"/>
        </w:rPr>
        <w:t xml:space="preserve"> в смешение при получении судового топлива </w:t>
      </w:r>
      <w:r w:rsidR="00297180">
        <w:rPr>
          <w:i/>
          <w:iCs/>
          <w:color w:val="000000"/>
          <w:sz w:val="25"/>
          <w:szCs w:val="25"/>
        </w:rPr>
        <w:t>дизельное топливо,</w:t>
      </w:r>
      <w:r w:rsidR="00563E9E" w:rsidRPr="00563E9E">
        <w:rPr>
          <w:i/>
          <w:iCs/>
          <w:color w:val="000000"/>
          <w:sz w:val="25"/>
          <w:szCs w:val="25"/>
        </w:rPr>
        <w:t xml:space="preserve"> снижа</w:t>
      </w:r>
      <w:r w:rsidR="00297180">
        <w:rPr>
          <w:i/>
          <w:iCs/>
          <w:color w:val="000000"/>
          <w:sz w:val="25"/>
          <w:szCs w:val="25"/>
        </w:rPr>
        <w:t>я</w:t>
      </w:r>
      <w:r w:rsidR="00563E9E" w:rsidRPr="00563E9E">
        <w:rPr>
          <w:i/>
          <w:iCs/>
          <w:color w:val="000000"/>
          <w:sz w:val="25"/>
          <w:szCs w:val="25"/>
        </w:rPr>
        <w:t xml:space="preserve"> </w:t>
      </w:r>
      <w:r w:rsidR="00297180">
        <w:rPr>
          <w:i/>
          <w:iCs/>
          <w:color w:val="000000"/>
          <w:sz w:val="25"/>
          <w:szCs w:val="25"/>
        </w:rPr>
        <w:t>сто</w:t>
      </w:r>
      <w:r w:rsidR="00563E9E" w:rsidRPr="00563E9E">
        <w:rPr>
          <w:i/>
          <w:iCs/>
          <w:color w:val="000000"/>
          <w:sz w:val="25"/>
          <w:szCs w:val="25"/>
        </w:rPr>
        <w:t>имость</w:t>
      </w:r>
      <w:r w:rsidR="00297180">
        <w:rPr>
          <w:i/>
          <w:iCs/>
          <w:color w:val="000000"/>
          <w:sz w:val="25"/>
          <w:szCs w:val="25"/>
        </w:rPr>
        <w:t xml:space="preserve"> судового топлива и увеличивая его предложение на рынке</w:t>
      </w:r>
      <w:r w:rsidR="00563E9E">
        <w:rPr>
          <w:color w:val="000000"/>
          <w:sz w:val="25"/>
          <w:szCs w:val="25"/>
        </w:rPr>
        <w:t>)</w:t>
      </w:r>
      <w:r w:rsidR="00754529">
        <w:rPr>
          <w:color w:val="000000"/>
          <w:sz w:val="25"/>
          <w:szCs w:val="25"/>
        </w:rPr>
        <w:t>;</w:t>
      </w:r>
    </w:p>
    <w:p w14:paraId="1819F564" w14:textId="31EECE90" w:rsidR="00754529" w:rsidRDefault="00754529" w:rsidP="00B03E05">
      <w:pPr>
        <w:pStyle w:val="228bf8a64b8551e1msonormal"/>
        <w:shd w:val="clear" w:color="auto" w:fill="FFFFFF"/>
        <w:spacing w:before="0" w:beforeAutospacing="0" w:after="0" w:afterAutospacing="0" w:line="276" w:lineRule="auto"/>
        <w:ind w:left="1211"/>
        <w:jc w:val="both"/>
        <w:rPr>
          <w:color w:val="000000"/>
          <w:sz w:val="25"/>
          <w:szCs w:val="25"/>
        </w:rPr>
      </w:pPr>
      <w:r>
        <w:rPr>
          <w:color w:val="000000"/>
          <w:sz w:val="25"/>
          <w:szCs w:val="25"/>
        </w:rPr>
        <w:t xml:space="preserve">- </w:t>
      </w:r>
      <w:r w:rsidR="000A1157">
        <w:rPr>
          <w:color w:val="000000"/>
          <w:sz w:val="25"/>
          <w:szCs w:val="25"/>
        </w:rPr>
        <w:t>в части установления ускоренного возврата НДС (не дожидаясь трехмесячного периода</w:t>
      </w:r>
      <w:r w:rsidR="008444E4">
        <w:rPr>
          <w:color w:val="000000"/>
          <w:sz w:val="25"/>
          <w:szCs w:val="25"/>
        </w:rPr>
        <w:t>, отведенного на</w:t>
      </w:r>
      <w:r w:rsidR="000A1157">
        <w:rPr>
          <w:color w:val="000000"/>
          <w:sz w:val="25"/>
          <w:szCs w:val="25"/>
        </w:rPr>
        <w:t xml:space="preserve"> проведени</w:t>
      </w:r>
      <w:r w:rsidR="008444E4">
        <w:rPr>
          <w:color w:val="000000"/>
          <w:sz w:val="25"/>
          <w:szCs w:val="25"/>
        </w:rPr>
        <w:t>е</w:t>
      </w:r>
      <w:r w:rsidR="000A1157">
        <w:rPr>
          <w:color w:val="000000"/>
          <w:sz w:val="25"/>
          <w:szCs w:val="25"/>
        </w:rPr>
        <w:t xml:space="preserve"> камеральной проверки)</w:t>
      </w:r>
      <w:r w:rsidR="008444E4">
        <w:rPr>
          <w:color w:val="000000"/>
          <w:sz w:val="25"/>
          <w:szCs w:val="25"/>
        </w:rPr>
        <w:t xml:space="preserve"> для компаний, благонадежность которых соответствует определенным критериям.</w:t>
      </w:r>
    </w:p>
    <w:p w14:paraId="317740B5" w14:textId="77777777" w:rsidR="009D7ABE" w:rsidRPr="008C42C2" w:rsidRDefault="009D7ABE" w:rsidP="00B03E05">
      <w:pPr>
        <w:pStyle w:val="228bf8a64b8551e1msonormal"/>
        <w:shd w:val="clear" w:color="auto" w:fill="FFFFFF"/>
        <w:spacing w:before="0" w:beforeAutospacing="0" w:after="0" w:afterAutospacing="0" w:line="276" w:lineRule="auto"/>
        <w:ind w:left="1211"/>
        <w:jc w:val="both"/>
        <w:rPr>
          <w:color w:val="000000"/>
          <w:sz w:val="25"/>
          <w:szCs w:val="25"/>
        </w:rPr>
      </w:pPr>
    </w:p>
    <w:p w14:paraId="4E533549" w14:textId="10470560" w:rsidR="00633508" w:rsidRPr="00633508" w:rsidRDefault="00633508" w:rsidP="00633508">
      <w:pPr>
        <w:pStyle w:val="a3"/>
        <w:numPr>
          <w:ilvl w:val="0"/>
          <w:numId w:val="8"/>
        </w:numPr>
        <w:spacing w:before="240"/>
        <w:jc w:val="both"/>
        <w:rPr>
          <w:rFonts w:ascii="Times New Roman" w:hAnsi="Times New Roman" w:cs="Times New Roman"/>
          <w:sz w:val="24"/>
          <w:szCs w:val="24"/>
        </w:rPr>
      </w:pPr>
      <w:r w:rsidRPr="00633508">
        <w:rPr>
          <w:rFonts w:ascii="Times New Roman" w:hAnsi="Times New Roman" w:cs="Times New Roman"/>
          <w:sz w:val="24"/>
          <w:szCs w:val="24"/>
        </w:rPr>
        <w:t>Предоставление за счет средств бюджета субсидирования железнодорожного тарифа при п</w:t>
      </w:r>
      <w:r w:rsidR="00791087">
        <w:rPr>
          <w:rFonts w:ascii="Times New Roman" w:hAnsi="Times New Roman" w:cs="Times New Roman"/>
          <w:sz w:val="24"/>
          <w:szCs w:val="24"/>
        </w:rPr>
        <w:t>еревозках</w:t>
      </w:r>
      <w:r w:rsidRPr="00633508">
        <w:rPr>
          <w:rFonts w:ascii="Times New Roman" w:hAnsi="Times New Roman" w:cs="Times New Roman"/>
          <w:sz w:val="24"/>
          <w:szCs w:val="24"/>
        </w:rPr>
        <w:t xml:space="preserve"> судового топлива ж/д транспортом</w:t>
      </w:r>
      <w:r>
        <w:rPr>
          <w:rFonts w:ascii="Times New Roman" w:hAnsi="Times New Roman" w:cs="Times New Roman"/>
          <w:sz w:val="24"/>
          <w:szCs w:val="24"/>
        </w:rPr>
        <w:t xml:space="preserve"> (в</w:t>
      </w:r>
      <w:r w:rsidR="00791087">
        <w:rPr>
          <w:rFonts w:ascii="Times New Roman" w:hAnsi="Times New Roman" w:cs="Times New Roman"/>
          <w:sz w:val="24"/>
          <w:szCs w:val="24"/>
        </w:rPr>
        <w:t xml:space="preserve"> том числе и</w:t>
      </w:r>
      <w:r>
        <w:rPr>
          <w:rFonts w:ascii="Times New Roman" w:hAnsi="Times New Roman" w:cs="Times New Roman"/>
          <w:sz w:val="24"/>
          <w:szCs w:val="24"/>
        </w:rPr>
        <w:t xml:space="preserve"> мазуты </w:t>
      </w:r>
      <w:r w:rsidR="00791087">
        <w:rPr>
          <w:rFonts w:ascii="Times New Roman" w:hAnsi="Times New Roman" w:cs="Times New Roman"/>
          <w:sz w:val="24"/>
          <w:szCs w:val="24"/>
        </w:rPr>
        <w:t xml:space="preserve">и средние дистилляты </w:t>
      </w:r>
      <w:r>
        <w:rPr>
          <w:rFonts w:ascii="Times New Roman" w:hAnsi="Times New Roman" w:cs="Times New Roman"/>
          <w:sz w:val="24"/>
          <w:szCs w:val="24"/>
        </w:rPr>
        <w:t xml:space="preserve">являющиеся основой для получения судового топлива путем смешения) </w:t>
      </w:r>
      <w:r w:rsidRPr="00633508">
        <w:rPr>
          <w:rFonts w:ascii="Times New Roman" w:hAnsi="Times New Roman" w:cs="Times New Roman"/>
          <w:sz w:val="24"/>
          <w:szCs w:val="24"/>
        </w:rPr>
        <w:t>в Дальневосточный федеральный округ и арктические регионы России из других регионов</w:t>
      </w:r>
      <w:r w:rsidR="007E0442">
        <w:rPr>
          <w:rFonts w:ascii="Times New Roman" w:hAnsi="Times New Roman" w:cs="Times New Roman"/>
          <w:sz w:val="24"/>
          <w:szCs w:val="24"/>
        </w:rPr>
        <w:t xml:space="preserve">, </w:t>
      </w:r>
      <w:r w:rsidR="007E0442">
        <w:rPr>
          <w:rFonts w:ascii="Times New Roman" w:hAnsi="Times New Roman" w:cs="Times New Roman"/>
          <w:sz w:val="24"/>
          <w:szCs w:val="24"/>
        </w:rPr>
        <w:lastRenderedPageBreak/>
        <w:t>по аналогии с постановлением правительства РФ от 28 декабря 2021 года № 2508 (возможно путем внесения изменений в указанное постановление в части его дополнения перечнем нефтепродуктов</w:t>
      </w:r>
      <w:r w:rsidR="00791087">
        <w:rPr>
          <w:rFonts w:ascii="Times New Roman" w:hAnsi="Times New Roman" w:cs="Times New Roman"/>
          <w:sz w:val="24"/>
          <w:szCs w:val="24"/>
        </w:rPr>
        <w:t>,</w:t>
      </w:r>
      <w:r w:rsidR="007E0442">
        <w:rPr>
          <w:rFonts w:ascii="Times New Roman" w:hAnsi="Times New Roman" w:cs="Times New Roman"/>
          <w:sz w:val="24"/>
          <w:szCs w:val="24"/>
        </w:rPr>
        <w:t xml:space="preserve"> перевозка которых субсидируется и существенного </w:t>
      </w:r>
      <w:r w:rsidR="00791087">
        <w:rPr>
          <w:rFonts w:ascii="Times New Roman" w:hAnsi="Times New Roman" w:cs="Times New Roman"/>
          <w:sz w:val="24"/>
          <w:szCs w:val="24"/>
        </w:rPr>
        <w:t>увеличения размера таких субсидий по сравнению с указанными в данном постановлении</w:t>
      </w:r>
      <w:r w:rsidR="00791087" w:rsidRPr="00791087">
        <w:rPr>
          <w:rFonts w:ascii="Times New Roman" w:hAnsi="Times New Roman" w:cs="Times New Roman"/>
          <w:sz w:val="24"/>
          <w:szCs w:val="24"/>
        </w:rPr>
        <w:t xml:space="preserve"> </w:t>
      </w:r>
      <w:r w:rsidR="00791087" w:rsidRPr="00633508">
        <w:rPr>
          <w:rFonts w:ascii="Times New Roman" w:hAnsi="Times New Roman" w:cs="Times New Roman"/>
          <w:sz w:val="24"/>
          <w:szCs w:val="24"/>
        </w:rPr>
        <w:t>транспортом</w:t>
      </w:r>
      <w:r w:rsidR="007E0442">
        <w:rPr>
          <w:rFonts w:ascii="Times New Roman" w:hAnsi="Times New Roman" w:cs="Times New Roman"/>
          <w:sz w:val="24"/>
          <w:szCs w:val="24"/>
        </w:rPr>
        <w:t>)</w:t>
      </w:r>
      <w:r w:rsidRPr="00633508">
        <w:rPr>
          <w:rFonts w:ascii="Times New Roman" w:hAnsi="Times New Roman" w:cs="Times New Roman"/>
          <w:sz w:val="24"/>
          <w:szCs w:val="24"/>
        </w:rPr>
        <w:t>.</w:t>
      </w:r>
    </w:p>
    <w:p w14:paraId="69301639" w14:textId="376F24BF" w:rsidR="00633508" w:rsidRDefault="00633508" w:rsidP="00633508">
      <w:pPr>
        <w:pStyle w:val="a3"/>
        <w:spacing w:before="240"/>
        <w:ind w:left="1211"/>
        <w:jc w:val="both"/>
        <w:rPr>
          <w:rFonts w:ascii="Times New Roman" w:hAnsi="Times New Roman" w:cs="Times New Roman"/>
          <w:i/>
          <w:sz w:val="24"/>
          <w:szCs w:val="24"/>
        </w:rPr>
      </w:pPr>
      <w:r w:rsidRPr="00633508">
        <w:rPr>
          <w:rFonts w:ascii="Times New Roman" w:hAnsi="Times New Roman" w:cs="Times New Roman"/>
          <w:i/>
          <w:sz w:val="24"/>
          <w:szCs w:val="24"/>
          <w:u w:val="single"/>
        </w:rPr>
        <w:t>Примечание:</w:t>
      </w:r>
      <w:r w:rsidRPr="00633508">
        <w:rPr>
          <w:rFonts w:ascii="Times New Roman" w:hAnsi="Times New Roman" w:cs="Times New Roman"/>
          <w:i/>
          <w:sz w:val="24"/>
          <w:szCs w:val="24"/>
        </w:rPr>
        <w:t xml:space="preserve"> Данная мера дополнительно позволит снизить стоимость судового топлива в указанных регионах, поскольку указанные регионы находятся на значительном расстоянии от большинства нефтеперерабатывающих производств</w:t>
      </w:r>
      <w:r w:rsidR="00791087">
        <w:rPr>
          <w:rFonts w:ascii="Times New Roman" w:hAnsi="Times New Roman" w:cs="Times New Roman"/>
          <w:i/>
          <w:sz w:val="24"/>
          <w:szCs w:val="24"/>
        </w:rPr>
        <w:t xml:space="preserve">, а железнодорожные тарифы на перевозку нефтепродуктов </w:t>
      </w:r>
      <w:r w:rsidR="001E355D">
        <w:rPr>
          <w:rFonts w:ascii="Times New Roman" w:hAnsi="Times New Roman" w:cs="Times New Roman"/>
          <w:i/>
          <w:sz w:val="24"/>
          <w:szCs w:val="24"/>
        </w:rPr>
        <w:t xml:space="preserve">в указанные регионы из </w:t>
      </w:r>
      <w:r w:rsidR="00135E68">
        <w:rPr>
          <w:rFonts w:ascii="Times New Roman" w:hAnsi="Times New Roman" w:cs="Times New Roman"/>
          <w:i/>
          <w:sz w:val="24"/>
          <w:szCs w:val="24"/>
        </w:rPr>
        <w:t xml:space="preserve">других </w:t>
      </w:r>
      <w:r w:rsidR="001E355D">
        <w:rPr>
          <w:rFonts w:ascii="Times New Roman" w:hAnsi="Times New Roman" w:cs="Times New Roman"/>
          <w:i/>
          <w:sz w:val="24"/>
          <w:szCs w:val="24"/>
        </w:rPr>
        <w:t>регионов РФ значительно удорожают судовое топливо (</w:t>
      </w:r>
      <w:r w:rsidR="009E3A9C">
        <w:rPr>
          <w:rFonts w:ascii="Times New Roman" w:hAnsi="Times New Roman" w:cs="Times New Roman"/>
          <w:i/>
          <w:sz w:val="24"/>
          <w:szCs w:val="24"/>
        </w:rPr>
        <w:t>н</w:t>
      </w:r>
      <w:r w:rsidR="001E355D">
        <w:rPr>
          <w:rFonts w:ascii="Times New Roman" w:hAnsi="Times New Roman" w:cs="Times New Roman"/>
          <w:i/>
          <w:sz w:val="24"/>
          <w:szCs w:val="24"/>
        </w:rPr>
        <w:t xml:space="preserve">апример, </w:t>
      </w:r>
      <w:r w:rsidR="009E3A9C">
        <w:rPr>
          <w:rFonts w:ascii="Times New Roman" w:hAnsi="Times New Roman" w:cs="Times New Roman"/>
          <w:i/>
          <w:sz w:val="24"/>
          <w:szCs w:val="24"/>
        </w:rPr>
        <w:t xml:space="preserve">размер </w:t>
      </w:r>
      <w:r w:rsidR="001E355D">
        <w:rPr>
          <w:rFonts w:ascii="Times New Roman" w:hAnsi="Times New Roman" w:cs="Times New Roman"/>
          <w:i/>
          <w:sz w:val="24"/>
          <w:szCs w:val="24"/>
        </w:rPr>
        <w:t>ж/д тариф</w:t>
      </w:r>
      <w:r w:rsidR="009E3A9C">
        <w:rPr>
          <w:rFonts w:ascii="Times New Roman" w:hAnsi="Times New Roman" w:cs="Times New Roman"/>
          <w:i/>
          <w:sz w:val="24"/>
          <w:szCs w:val="24"/>
        </w:rPr>
        <w:t>а</w:t>
      </w:r>
      <w:r w:rsidR="001E355D">
        <w:rPr>
          <w:rFonts w:ascii="Times New Roman" w:hAnsi="Times New Roman" w:cs="Times New Roman"/>
          <w:i/>
          <w:sz w:val="24"/>
          <w:szCs w:val="24"/>
        </w:rPr>
        <w:t xml:space="preserve"> на перевозку нефтепродуктов из Ачинского НПЗ (ст. Новая Еловка, </w:t>
      </w:r>
      <w:r w:rsidR="00135E68">
        <w:rPr>
          <w:rFonts w:ascii="Times New Roman" w:hAnsi="Times New Roman" w:cs="Times New Roman"/>
          <w:i/>
          <w:sz w:val="24"/>
          <w:szCs w:val="24"/>
        </w:rPr>
        <w:t>Вост. Сибирь, Красноярский край</w:t>
      </w:r>
      <w:r w:rsidR="009E3A9C">
        <w:rPr>
          <w:rFonts w:ascii="Times New Roman" w:hAnsi="Times New Roman" w:cs="Times New Roman"/>
          <w:i/>
          <w:sz w:val="24"/>
          <w:szCs w:val="24"/>
        </w:rPr>
        <w:t>) в настоящее время составляет до ст</w:t>
      </w:r>
      <w:r w:rsidR="00AB7B5A">
        <w:rPr>
          <w:rFonts w:ascii="Times New Roman" w:hAnsi="Times New Roman" w:cs="Times New Roman"/>
          <w:i/>
          <w:sz w:val="24"/>
          <w:szCs w:val="24"/>
        </w:rPr>
        <w:t>.</w:t>
      </w:r>
      <w:r w:rsidR="009E3A9C">
        <w:rPr>
          <w:rFonts w:ascii="Times New Roman" w:hAnsi="Times New Roman" w:cs="Times New Roman"/>
          <w:i/>
          <w:sz w:val="24"/>
          <w:szCs w:val="24"/>
        </w:rPr>
        <w:t xml:space="preserve"> Владивосток </w:t>
      </w:r>
      <w:r w:rsidR="00135E68">
        <w:rPr>
          <w:rFonts w:ascii="Times New Roman" w:hAnsi="Times New Roman" w:cs="Times New Roman"/>
          <w:i/>
          <w:sz w:val="24"/>
          <w:szCs w:val="24"/>
        </w:rPr>
        <w:t>–</w:t>
      </w:r>
      <w:r w:rsidR="009E3A9C">
        <w:rPr>
          <w:rFonts w:ascii="Times New Roman" w:hAnsi="Times New Roman" w:cs="Times New Roman"/>
          <w:i/>
          <w:sz w:val="24"/>
          <w:szCs w:val="24"/>
        </w:rPr>
        <w:t xml:space="preserve"> </w:t>
      </w:r>
      <w:r w:rsidR="00135E68">
        <w:rPr>
          <w:rFonts w:ascii="Times New Roman" w:hAnsi="Times New Roman" w:cs="Times New Roman"/>
          <w:i/>
          <w:sz w:val="24"/>
          <w:szCs w:val="24"/>
        </w:rPr>
        <w:t>11368,89 р</w:t>
      </w:r>
      <w:r w:rsidR="009E3A9C">
        <w:rPr>
          <w:rFonts w:ascii="Times New Roman" w:hAnsi="Times New Roman" w:cs="Times New Roman"/>
          <w:i/>
          <w:sz w:val="24"/>
          <w:szCs w:val="24"/>
        </w:rPr>
        <w:t xml:space="preserve">ублей за тонну, </w:t>
      </w:r>
      <w:r w:rsidR="00135E68">
        <w:rPr>
          <w:rFonts w:ascii="Times New Roman" w:hAnsi="Times New Roman" w:cs="Times New Roman"/>
          <w:i/>
          <w:sz w:val="24"/>
          <w:szCs w:val="24"/>
        </w:rPr>
        <w:t xml:space="preserve">из Омского НПЗ </w:t>
      </w:r>
      <w:r w:rsidR="009E3A9C" w:rsidRPr="009E3A9C">
        <w:rPr>
          <w:rFonts w:ascii="Times New Roman" w:hAnsi="Times New Roman" w:cs="Times New Roman"/>
          <w:i/>
          <w:sz w:val="24"/>
          <w:szCs w:val="24"/>
        </w:rPr>
        <w:t xml:space="preserve"> </w:t>
      </w:r>
      <w:r w:rsidR="00135E68">
        <w:rPr>
          <w:rFonts w:ascii="Times New Roman" w:hAnsi="Times New Roman" w:cs="Times New Roman"/>
          <w:i/>
          <w:sz w:val="24"/>
          <w:szCs w:val="24"/>
        </w:rPr>
        <w:t>(ст. Комбинатская, Зап. Сибирь, Омская область) составляет до ст</w:t>
      </w:r>
      <w:r w:rsidR="00AB7B5A">
        <w:rPr>
          <w:rFonts w:ascii="Times New Roman" w:hAnsi="Times New Roman" w:cs="Times New Roman"/>
          <w:i/>
          <w:sz w:val="24"/>
          <w:szCs w:val="24"/>
        </w:rPr>
        <w:t>.</w:t>
      </w:r>
      <w:r w:rsidR="00135E68">
        <w:rPr>
          <w:rFonts w:ascii="Times New Roman" w:hAnsi="Times New Roman" w:cs="Times New Roman"/>
          <w:i/>
          <w:sz w:val="24"/>
          <w:szCs w:val="24"/>
        </w:rPr>
        <w:t xml:space="preserve"> Владивосток – </w:t>
      </w:r>
      <w:r w:rsidR="00135E68" w:rsidRPr="00AB7B5A">
        <w:rPr>
          <w:rFonts w:ascii="Times New Roman" w:hAnsi="Times New Roman" w:cs="Times New Roman"/>
          <w:i/>
          <w:sz w:val="24"/>
          <w:szCs w:val="24"/>
        </w:rPr>
        <w:t>136</w:t>
      </w:r>
      <w:r w:rsidR="00AB7B5A" w:rsidRPr="00AB7B5A">
        <w:rPr>
          <w:rFonts w:ascii="Times New Roman" w:hAnsi="Times New Roman" w:cs="Times New Roman"/>
          <w:i/>
          <w:sz w:val="24"/>
          <w:szCs w:val="24"/>
        </w:rPr>
        <w:t>03,00</w:t>
      </w:r>
      <w:r w:rsidR="00135E68" w:rsidRPr="00AB7B5A">
        <w:rPr>
          <w:rFonts w:ascii="Times New Roman" w:hAnsi="Times New Roman" w:cs="Times New Roman"/>
          <w:i/>
          <w:sz w:val="24"/>
          <w:szCs w:val="24"/>
        </w:rPr>
        <w:t xml:space="preserve"> </w:t>
      </w:r>
      <w:r w:rsidR="009E3A9C">
        <w:rPr>
          <w:rFonts w:ascii="Times New Roman" w:hAnsi="Times New Roman" w:cs="Times New Roman"/>
          <w:i/>
          <w:sz w:val="24"/>
          <w:szCs w:val="24"/>
        </w:rPr>
        <w:t>рублей за тонну</w:t>
      </w:r>
      <w:r w:rsidR="00135E68">
        <w:rPr>
          <w:rFonts w:ascii="Times New Roman" w:hAnsi="Times New Roman" w:cs="Times New Roman"/>
          <w:i/>
          <w:sz w:val="24"/>
          <w:szCs w:val="24"/>
        </w:rPr>
        <w:t xml:space="preserve">, </w:t>
      </w:r>
      <w:r w:rsidR="00AB7B5A">
        <w:rPr>
          <w:rFonts w:ascii="Times New Roman" w:hAnsi="Times New Roman" w:cs="Times New Roman"/>
          <w:i/>
          <w:sz w:val="24"/>
          <w:szCs w:val="24"/>
        </w:rPr>
        <w:t xml:space="preserve">ТАНЕКО (ст. Биклянь, </w:t>
      </w:r>
      <w:proofErr w:type="spellStart"/>
      <w:r w:rsidR="00AB7B5A">
        <w:rPr>
          <w:rFonts w:ascii="Times New Roman" w:hAnsi="Times New Roman" w:cs="Times New Roman"/>
          <w:i/>
          <w:sz w:val="24"/>
          <w:szCs w:val="24"/>
        </w:rPr>
        <w:t>респ</w:t>
      </w:r>
      <w:proofErr w:type="spellEnd"/>
      <w:r w:rsidR="00AB7B5A">
        <w:rPr>
          <w:rFonts w:ascii="Times New Roman" w:hAnsi="Times New Roman" w:cs="Times New Roman"/>
          <w:i/>
          <w:sz w:val="24"/>
          <w:szCs w:val="24"/>
        </w:rPr>
        <w:t>. Татарстан, г. Нижнекамск</w:t>
      </w:r>
      <w:r w:rsidR="001E355D">
        <w:rPr>
          <w:rFonts w:ascii="Times New Roman" w:hAnsi="Times New Roman" w:cs="Times New Roman"/>
          <w:i/>
          <w:sz w:val="24"/>
          <w:szCs w:val="24"/>
        </w:rPr>
        <w:t>)</w:t>
      </w:r>
      <w:r w:rsidR="00AB7B5A" w:rsidRPr="00AB7B5A">
        <w:rPr>
          <w:rFonts w:ascii="Times New Roman" w:hAnsi="Times New Roman" w:cs="Times New Roman"/>
          <w:i/>
          <w:sz w:val="24"/>
          <w:szCs w:val="24"/>
        </w:rPr>
        <w:t xml:space="preserve"> </w:t>
      </w:r>
      <w:r w:rsidR="00AB7B5A">
        <w:rPr>
          <w:rFonts w:ascii="Times New Roman" w:hAnsi="Times New Roman" w:cs="Times New Roman"/>
          <w:i/>
          <w:sz w:val="24"/>
          <w:szCs w:val="24"/>
        </w:rPr>
        <w:t xml:space="preserve">составляет до ст. Владивосток – </w:t>
      </w:r>
      <w:r w:rsidR="00AB7B5A" w:rsidRPr="00AB7B5A">
        <w:rPr>
          <w:rFonts w:ascii="Times New Roman" w:hAnsi="Times New Roman" w:cs="Times New Roman"/>
          <w:i/>
          <w:sz w:val="24"/>
          <w:szCs w:val="24"/>
        </w:rPr>
        <w:t xml:space="preserve">16742,90 </w:t>
      </w:r>
      <w:r w:rsidR="00AB7B5A">
        <w:rPr>
          <w:rFonts w:ascii="Times New Roman" w:hAnsi="Times New Roman" w:cs="Times New Roman"/>
          <w:i/>
          <w:sz w:val="24"/>
          <w:szCs w:val="24"/>
        </w:rPr>
        <w:t>рублей за тонну)</w:t>
      </w:r>
      <w:r w:rsidR="008D5A41">
        <w:rPr>
          <w:rFonts w:ascii="Times New Roman" w:hAnsi="Times New Roman" w:cs="Times New Roman"/>
          <w:i/>
          <w:sz w:val="24"/>
          <w:szCs w:val="24"/>
        </w:rPr>
        <w:t>.</w:t>
      </w:r>
    </w:p>
    <w:p w14:paraId="3DE173C0" w14:textId="77777777" w:rsidR="008D5A41" w:rsidRPr="00633508" w:rsidRDefault="008D5A41" w:rsidP="00633508">
      <w:pPr>
        <w:pStyle w:val="a3"/>
        <w:spacing w:before="240"/>
        <w:ind w:left="1211"/>
        <w:jc w:val="both"/>
        <w:rPr>
          <w:rFonts w:ascii="Times New Roman" w:hAnsi="Times New Roman" w:cs="Times New Roman"/>
          <w:i/>
          <w:sz w:val="24"/>
          <w:szCs w:val="24"/>
        </w:rPr>
      </w:pPr>
    </w:p>
    <w:p w14:paraId="39CD9877" w14:textId="3F88227B" w:rsidR="00D84190" w:rsidRPr="005661B4" w:rsidRDefault="009F3C88" w:rsidP="008E6277">
      <w:pPr>
        <w:pStyle w:val="a3"/>
        <w:numPr>
          <w:ilvl w:val="0"/>
          <w:numId w:val="8"/>
        </w:numPr>
        <w:spacing w:before="240"/>
        <w:jc w:val="both"/>
        <w:rPr>
          <w:rFonts w:ascii="Times New Roman" w:hAnsi="Times New Roman" w:cs="Times New Roman"/>
          <w:sz w:val="24"/>
          <w:szCs w:val="24"/>
        </w:rPr>
      </w:pPr>
      <w:r>
        <w:rPr>
          <w:rFonts w:ascii="Times New Roman" w:hAnsi="Times New Roman" w:cs="Times New Roman"/>
          <w:sz w:val="24"/>
          <w:szCs w:val="24"/>
          <w:u w:val="single"/>
        </w:rPr>
        <w:t>С</w:t>
      </w:r>
      <w:r w:rsidR="00D84190" w:rsidRPr="005661B4">
        <w:rPr>
          <w:rFonts w:ascii="Times New Roman" w:hAnsi="Times New Roman" w:cs="Times New Roman"/>
          <w:sz w:val="24"/>
          <w:szCs w:val="24"/>
          <w:u w:val="single"/>
        </w:rPr>
        <w:t>нижени</w:t>
      </w:r>
      <w:r>
        <w:rPr>
          <w:rFonts w:ascii="Times New Roman" w:hAnsi="Times New Roman" w:cs="Times New Roman"/>
          <w:sz w:val="24"/>
          <w:szCs w:val="24"/>
          <w:u w:val="single"/>
        </w:rPr>
        <w:t>е</w:t>
      </w:r>
      <w:r w:rsidR="00D84190" w:rsidRPr="005661B4">
        <w:rPr>
          <w:rFonts w:ascii="Times New Roman" w:hAnsi="Times New Roman" w:cs="Times New Roman"/>
          <w:sz w:val="24"/>
          <w:szCs w:val="24"/>
          <w:u w:val="single"/>
        </w:rPr>
        <w:t xml:space="preserve"> негативного воздействия от увеличения ключевой </w:t>
      </w:r>
      <w:proofErr w:type="gramStart"/>
      <w:r w:rsidR="00D84190" w:rsidRPr="005661B4">
        <w:rPr>
          <w:rFonts w:ascii="Times New Roman" w:hAnsi="Times New Roman" w:cs="Times New Roman"/>
          <w:sz w:val="24"/>
          <w:szCs w:val="24"/>
          <w:u w:val="single"/>
        </w:rPr>
        <w:t>ставки  ЦБ</w:t>
      </w:r>
      <w:proofErr w:type="gramEnd"/>
      <w:r w:rsidR="00D84190" w:rsidRPr="005661B4">
        <w:rPr>
          <w:rFonts w:ascii="Times New Roman" w:hAnsi="Times New Roman" w:cs="Times New Roman"/>
          <w:sz w:val="24"/>
          <w:szCs w:val="24"/>
        </w:rPr>
        <w:t>:</w:t>
      </w:r>
    </w:p>
    <w:p w14:paraId="1F5ED70A" w14:textId="36ED2438" w:rsidR="00D84190" w:rsidRPr="005661B4" w:rsidRDefault="00D84190" w:rsidP="008E6277">
      <w:pPr>
        <w:pStyle w:val="a3"/>
        <w:shd w:val="clear" w:color="auto" w:fill="FFFFFF"/>
        <w:spacing w:after="160"/>
        <w:ind w:left="1211"/>
        <w:jc w:val="both"/>
        <w:rPr>
          <w:rFonts w:ascii="Times New Roman" w:eastAsia="Times New Roman" w:hAnsi="Times New Roman" w:cs="Times New Roman"/>
          <w:color w:val="000000"/>
          <w:sz w:val="25"/>
          <w:szCs w:val="25"/>
          <w:lang w:eastAsia="ru-RU"/>
        </w:rPr>
      </w:pPr>
      <w:r w:rsidRPr="005661B4">
        <w:rPr>
          <w:rFonts w:ascii="Times New Roman" w:eastAsia="Times New Roman" w:hAnsi="Times New Roman" w:cs="Times New Roman"/>
          <w:color w:val="000000"/>
          <w:sz w:val="25"/>
          <w:szCs w:val="25"/>
          <w:lang w:eastAsia="ru-RU"/>
        </w:rPr>
        <w:t>- фикс</w:t>
      </w:r>
      <w:r w:rsidR="005661B4" w:rsidRPr="005661B4">
        <w:rPr>
          <w:rFonts w:ascii="Times New Roman" w:eastAsia="Times New Roman" w:hAnsi="Times New Roman" w:cs="Times New Roman"/>
          <w:color w:val="000000"/>
          <w:sz w:val="25"/>
          <w:szCs w:val="25"/>
          <w:lang w:eastAsia="ru-RU"/>
        </w:rPr>
        <w:t>ация</w:t>
      </w:r>
      <w:r w:rsidRPr="005661B4">
        <w:rPr>
          <w:rFonts w:ascii="Times New Roman" w:eastAsia="Times New Roman" w:hAnsi="Times New Roman" w:cs="Times New Roman"/>
          <w:color w:val="000000"/>
          <w:sz w:val="25"/>
          <w:szCs w:val="25"/>
          <w:lang w:eastAsia="ru-RU"/>
        </w:rPr>
        <w:t>, по состоянию на  23 февраля 2022 года,  условий кредитования бункеров</w:t>
      </w:r>
      <w:r w:rsidR="005661B4" w:rsidRPr="005661B4">
        <w:rPr>
          <w:rFonts w:ascii="Times New Roman" w:eastAsia="Times New Roman" w:hAnsi="Times New Roman" w:cs="Times New Roman"/>
          <w:color w:val="000000"/>
          <w:sz w:val="25"/>
          <w:szCs w:val="25"/>
          <w:lang w:eastAsia="ru-RU"/>
        </w:rPr>
        <w:t>очных компаний</w:t>
      </w:r>
      <w:r w:rsidRPr="005661B4">
        <w:rPr>
          <w:rFonts w:ascii="Times New Roman" w:eastAsia="Times New Roman" w:hAnsi="Times New Roman" w:cs="Times New Roman"/>
          <w:color w:val="000000"/>
          <w:sz w:val="25"/>
          <w:szCs w:val="25"/>
          <w:lang w:eastAsia="ru-RU"/>
        </w:rPr>
        <w:t>, судовладельцев  и   др. организаций   по кредитам выданным до 23 февраля 2022 года на цели,  связанные с пополнением оборотных</w:t>
      </w:r>
      <w:r w:rsidR="00B979A3">
        <w:rPr>
          <w:rFonts w:ascii="Times New Roman" w:eastAsia="Times New Roman" w:hAnsi="Times New Roman" w:cs="Times New Roman"/>
          <w:color w:val="000000"/>
          <w:sz w:val="25"/>
          <w:szCs w:val="25"/>
          <w:lang w:eastAsia="ru-RU"/>
        </w:rPr>
        <w:t xml:space="preserve"> средств</w:t>
      </w:r>
      <w:r w:rsidRPr="005661B4">
        <w:rPr>
          <w:rFonts w:ascii="Times New Roman" w:eastAsia="Times New Roman" w:hAnsi="Times New Roman" w:cs="Times New Roman"/>
          <w:color w:val="000000"/>
          <w:sz w:val="25"/>
          <w:szCs w:val="25"/>
          <w:lang w:eastAsia="ru-RU"/>
        </w:rPr>
        <w:t>,   ремонтами и строительством судов</w:t>
      </w:r>
      <w:r w:rsidR="009F3C88">
        <w:rPr>
          <w:rFonts w:ascii="Times New Roman" w:eastAsia="Times New Roman" w:hAnsi="Times New Roman" w:cs="Times New Roman"/>
          <w:color w:val="000000"/>
          <w:sz w:val="25"/>
          <w:szCs w:val="25"/>
          <w:lang w:eastAsia="ru-RU"/>
        </w:rPr>
        <w:t>,</w:t>
      </w:r>
      <w:r w:rsidR="008E6277" w:rsidRPr="008E6277">
        <w:rPr>
          <w:rFonts w:ascii="Times New Roman" w:eastAsia="Times New Roman" w:hAnsi="Times New Roman" w:cs="Times New Roman"/>
          <w:color w:val="000000"/>
          <w:sz w:val="25"/>
          <w:szCs w:val="25"/>
          <w:lang w:eastAsia="ru-RU"/>
        </w:rPr>
        <w:t xml:space="preserve"> </w:t>
      </w:r>
      <w:r w:rsidR="009F3C88">
        <w:rPr>
          <w:rFonts w:ascii="Times New Roman" w:eastAsia="Times New Roman" w:hAnsi="Times New Roman" w:cs="Times New Roman"/>
          <w:color w:val="000000"/>
          <w:sz w:val="25"/>
          <w:szCs w:val="25"/>
          <w:lang w:eastAsia="ru-RU"/>
        </w:rPr>
        <w:t>строительств</w:t>
      </w:r>
      <w:r w:rsidR="00E24474">
        <w:rPr>
          <w:rFonts w:ascii="Times New Roman" w:eastAsia="Times New Roman" w:hAnsi="Times New Roman" w:cs="Times New Roman"/>
          <w:color w:val="000000"/>
          <w:sz w:val="25"/>
          <w:szCs w:val="25"/>
          <w:lang w:eastAsia="ru-RU"/>
        </w:rPr>
        <w:t>ом</w:t>
      </w:r>
      <w:r w:rsidR="009F3C88">
        <w:rPr>
          <w:rFonts w:ascii="Times New Roman" w:eastAsia="Times New Roman" w:hAnsi="Times New Roman" w:cs="Times New Roman"/>
          <w:color w:val="000000"/>
          <w:sz w:val="25"/>
          <w:szCs w:val="25"/>
          <w:lang w:eastAsia="ru-RU"/>
        </w:rPr>
        <w:t>, модернизаци</w:t>
      </w:r>
      <w:r w:rsidR="00E24474">
        <w:rPr>
          <w:rFonts w:ascii="Times New Roman" w:eastAsia="Times New Roman" w:hAnsi="Times New Roman" w:cs="Times New Roman"/>
          <w:color w:val="000000"/>
          <w:sz w:val="25"/>
          <w:szCs w:val="25"/>
          <w:lang w:eastAsia="ru-RU"/>
        </w:rPr>
        <w:t>ей</w:t>
      </w:r>
      <w:r w:rsidR="009F3C88">
        <w:rPr>
          <w:rFonts w:ascii="Times New Roman" w:eastAsia="Times New Roman" w:hAnsi="Times New Roman" w:cs="Times New Roman"/>
          <w:color w:val="000000"/>
          <w:sz w:val="25"/>
          <w:szCs w:val="25"/>
          <w:lang w:eastAsia="ru-RU"/>
        </w:rPr>
        <w:t>, реконструкци</w:t>
      </w:r>
      <w:r w:rsidR="00E24474">
        <w:rPr>
          <w:rFonts w:ascii="Times New Roman" w:eastAsia="Times New Roman" w:hAnsi="Times New Roman" w:cs="Times New Roman"/>
          <w:color w:val="000000"/>
          <w:sz w:val="25"/>
          <w:szCs w:val="25"/>
          <w:lang w:eastAsia="ru-RU"/>
        </w:rPr>
        <w:t>ей причалов, предназначенных для перевалки нефтепродуктов,</w:t>
      </w:r>
      <w:r w:rsidR="009F3C88">
        <w:rPr>
          <w:rFonts w:ascii="Times New Roman" w:eastAsia="Times New Roman" w:hAnsi="Times New Roman" w:cs="Times New Roman"/>
          <w:color w:val="000000"/>
          <w:sz w:val="25"/>
          <w:szCs w:val="25"/>
          <w:lang w:eastAsia="ru-RU"/>
        </w:rPr>
        <w:t xml:space="preserve"> нефтетерминалов и перегрузочных комплексов нефтепродуктов </w:t>
      </w:r>
      <w:r w:rsidR="008E6277">
        <w:rPr>
          <w:rFonts w:ascii="Times New Roman" w:eastAsia="Times New Roman" w:hAnsi="Times New Roman" w:cs="Times New Roman"/>
          <w:color w:val="000000"/>
          <w:sz w:val="25"/>
          <w:szCs w:val="25"/>
          <w:lang w:eastAsia="ru-RU"/>
        </w:rPr>
        <w:t>(путем субсидирования процентной ставки по кредитам)</w:t>
      </w:r>
      <w:r w:rsidR="005661B4">
        <w:rPr>
          <w:rFonts w:ascii="Times New Roman" w:eastAsia="Times New Roman" w:hAnsi="Times New Roman" w:cs="Times New Roman"/>
          <w:color w:val="000000"/>
          <w:sz w:val="25"/>
          <w:szCs w:val="25"/>
          <w:lang w:eastAsia="ru-RU"/>
        </w:rPr>
        <w:t>;</w:t>
      </w:r>
    </w:p>
    <w:p w14:paraId="146C4AE4" w14:textId="6C8A2A18" w:rsidR="00D84190" w:rsidRDefault="00D84190" w:rsidP="008E6277">
      <w:pPr>
        <w:pStyle w:val="a3"/>
        <w:shd w:val="clear" w:color="auto" w:fill="FFFFFF"/>
        <w:spacing w:after="160"/>
        <w:ind w:left="1211"/>
        <w:jc w:val="both"/>
        <w:rPr>
          <w:rFonts w:ascii="Times New Roman" w:eastAsia="Times New Roman" w:hAnsi="Times New Roman" w:cs="Times New Roman"/>
          <w:color w:val="000000"/>
          <w:sz w:val="25"/>
          <w:szCs w:val="25"/>
          <w:lang w:eastAsia="ru-RU"/>
        </w:rPr>
      </w:pPr>
      <w:r w:rsidRPr="005661B4">
        <w:rPr>
          <w:rFonts w:ascii="Times New Roman" w:eastAsia="Times New Roman" w:hAnsi="Times New Roman" w:cs="Times New Roman"/>
          <w:color w:val="000000"/>
          <w:sz w:val="25"/>
          <w:szCs w:val="25"/>
          <w:lang w:eastAsia="ru-RU"/>
        </w:rPr>
        <w:t xml:space="preserve">-   </w:t>
      </w:r>
      <w:proofErr w:type="gramStart"/>
      <w:r w:rsidR="005661B4">
        <w:rPr>
          <w:rFonts w:ascii="Times New Roman" w:eastAsia="Times New Roman" w:hAnsi="Times New Roman" w:cs="Times New Roman"/>
          <w:color w:val="000000"/>
          <w:sz w:val="25"/>
          <w:szCs w:val="25"/>
          <w:lang w:eastAsia="ru-RU"/>
        </w:rPr>
        <w:t>обеспече</w:t>
      </w:r>
      <w:r w:rsidRPr="005661B4">
        <w:rPr>
          <w:rFonts w:ascii="Times New Roman" w:eastAsia="Times New Roman" w:hAnsi="Times New Roman" w:cs="Times New Roman"/>
          <w:color w:val="000000"/>
          <w:sz w:val="25"/>
          <w:szCs w:val="25"/>
          <w:lang w:eastAsia="ru-RU"/>
        </w:rPr>
        <w:t>ние  возможности</w:t>
      </w:r>
      <w:proofErr w:type="gramEnd"/>
      <w:r w:rsidRPr="005661B4">
        <w:rPr>
          <w:rFonts w:ascii="Times New Roman" w:eastAsia="Times New Roman" w:hAnsi="Times New Roman" w:cs="Times New Roman"/>
          <w:color w:val="000000"/>
          <w:sz w:val="25"/>
          <w:szCs w:val="25"/>
          <w:lang w:eastAsia="ru-RU"/>
        </w:rPr>
        <w:t xml:space="preserve"> получения  организациями кредитов по льготным ставкам на  финансирование строительства танкерного флота, как на территории  РФ, так и за ее пределами</w:t>
      </w:r>
      <w:r w:rsidR="00B979A3">
        <w:rPr>
          <w:rFonts w:ascii="Times New Roman" w:eastAsia="Times New Roman" w:hAnsi="Times New Roman" w:cs="Times New Roman"/>
          <w:color w:val="000000"/>
          <w:sz w:val="25"/>
          <w:szCs w:val="25"/>
          <w:lang w:eastAsia="ru-RU"/>
        </w:rPr>
        <w:t xml:space="preserve">, строительства/модернизации/реконструкции </w:t>
      </w:r>
      <w:r w:rsidR="00E24474">
        <w:rPr>
          <w:rFonts w:ascii="Times New Roman" w:eastAsia="Times New Roman" w:hAnsi="Times New Roman" w:cs="Times New Roman"/>
          <w:color w:val="000000"/>
          <w:sz w:val="25"/>
          <w:szCs w:val="25"/>
          <w:lang w:eastAsia="ru-RU"/>
        </w:rPr>
        <w:t xml:space="preserve">причалов, предназначенных для перевалки нефтепродуктов, </w:t>
      </w:r>
      <w:r w:rsidR="00B979A3">
        <w:rPr>
          <w:rFonts w:ascii="Times New Roman" w:eastAsia="Times New Roman" w:hAnsi="Times New Roman" w:cs="Times New Roman"/>
          <w:color w:val="000000"/>
          <w:sz w:val="25"/>
          <w:szCs w:val="25"/>
          <w:lang w:eastAsia="ru-RU"/>
        </w:rPr>
        <w:t>нефтетерминалов и перегрузочных комплексов нефтепродуктов</w:t>
      </w:r>
      <w:r w:rsidRPr="005661B4">
        <w:rPr>
          <w:rFonts w:ascii="Times New Roman" w:eastAsia="Times New Roman" w:hAnsi="Times New Roman" w:cs="Times New Roman"/>
          <w:color w:val="000000"/>
          <w:sz w:val="25"/>
          <w:szCs w:val="25"/>
          <w:lang w:eastAsia="ru-RU"/>
        </w:rPr>
        <w:t>. Предоставление льготных кредитов лизинговым компаниям для приобретения и строительства наливных судов.</w:t>
      </w:r>
    </w:p>
    <w:p w14:paraId="48789940" w14:textId="181669DA" w:rsidR="002A228B" w:rsidRPr="002A228B" w:rsidRDefault="002A228B" w:rsidP="002A228B">
      <w:pPr>
        <w:pStyle w:val="a3"/>
        <w:spacing w:before="240"/>
        <w:ind w:left="1211"/>
        <w:jc w:val="both"/>
        <w:rPr>
          <w:rFonts w:ascii="Times New Roman" w:hAnsi="Times New Roman" w:cs="Times New Roman"/>
          <w:i/>
          <w:sz w:val="24"/>
          <w:szCs w:val="24"/>
        </w:rPr>
      </w:pPr>
      <w:r w:rsidRPr="002A228B">
        <w:rPr>
          <w:rFonts w:ascii="Times New Roman" w:hAnsi="Times New Roman" w:cs="Times New Roman"/>
          <w:i/>
          <w:sz w:val="24"/>
          <w:szCs w:val="24"/>
          <w:u w:val="single"/>
        </w:rPr>
        <w:t>Примечание</w:t>
      </w:r>
      <w:r w:rsidRPr="002A228B">
        <w:rPr>
          <w:rFonts w:ascii="Times New Roman" w:hAnsi="Times New Roman" w:cs="Times New Roman"/>
          <w:i/>
          <w:sz w:val="24"/>
          <w:szCs w:val="24"/>
        </w:rPr>
        <w:t>:</w:t>
      </w:r>
      <w:r>
        <w:rPr>
          <w:rFonts w:ascii="Times New Roman" w:hAnsi="Times New Roman" w:cs="Times New Roman"/>
          <w:i/>
          <w:sz w:val="24"/>
          <w:szCs w:val="24"/>
        </w:rPr>
        <w:t xml:space="preserve"> Производители в настоящее время продают нефтепродукты (включая судовое топливо и используемые для смешения компоненты) только при условии полной предоплате. </w:t>
      </w:r>
      <w:r w:rsidRPr="002A228B">
        <w:rPr>
          <w:rFonts w:ascii="Times New Roman" w:hAnsi="Times New Roman" w:cs="Times New Roman"/>
          <w:i/>
          <w:sz w:val="24"/>
          <w:szCs w:val="24"/>
        </w:rPr>
        <w:t xml:space="preserve">Общее количество судов-бункеровщиков (суммарно во всех портах) по данным за 2020 </w:t>
      </w:r>
      <w:proofErr w:type="gramStart"/>
      <w:r w:rsidRPr="002A228B">
        <w:rPr>
          <w:rFonts w:ascii="Times New Roman" w:hAnsi="Times New Roman" w:cs="Times New Roman"/>
          <w:i/>
          <w:sz w:val="24"/>
          <w:szCs w:val="24"/>
        </w:rPr>
        <w:t>год  –</w:t>
      </w:r>
      <w:proofErr w:type="gramEnd"/>
      <w:r w:rsidRPr="002A228B">
        <w:rPr>
          <w:rFonts w:ascii="Times New Roman" w:hAnsi="Times New Roman" w:cs="Times New Roman"/>
          <w:i/>
          <w:sz w:val="24"/>
          <w:szCs w:val="24"/>
        </w:rPr>
        <w:t xml:space="preserve"> 218. Средний возраст судов - 34 года. За последние 10 лет построен толь один специализированный бункеровочный танкер (СПГ – бункеровщик «Дмитрий Менделеев» ГПНМБ), несколько танкеров было введено в эксплуатацию, но все они куплены за рубежом на вторичном рынке.</w:t>
      </w:r>
      <w:r w:rsidR="00E24474">
        <w:rPr>
          <w:rFonts w:ascii="Times New Roman" w:hAnsi="Times New Roman" w:cs="Times New Roman"/>
          <w:i/>
          <w:sz w:val="24"/>
          <w:szCs w:val="24"/>
        </w:rPr>
        <w:t xml:space="preserve"> При осуществлении деятельности по бункеровке судов</w:t>
      </w:r>
      <w:r w:rsidR="00AB3300">
        <w:rPr>
          <w:rFonts w:ascii="Times New Roman" w:hAnsi="Times New Roman" w:cs="Times New Roman"/>
          <w:i/>
          <w:sz w:val="24"/>
          <w:szCs w:val="24"/>
        </w:rPr>
        <w:t>, наряду с судами-бункеровщиками, как правило,</w:t>
      </w:r>
      <w:r w:rsidR="00E24474">
        <w:rPr>
          <w:rFonts w:ascii="Times New Roman" w:hAnsi="Times New Roman" w:cs="Times New Roman"/>
          <w:i/>
          <w:sz w:val="24"/>
          <w:szCs w:val="24"/>
        </w:rPr>
        <w:t xml:space="preserve"> используются </w:t>
      </w:r>
      <w:r w:rsidR="00AB3300" w:rsidRPr="00AB3300">
        <w:rPr>
          <w:rFonts w:ascii="Times New Roman" w:hAnsi="Times New Roman" w:cs="Times New Roman"/>
          <w:i/>
          <w:sz w:val="24"/>
          <w:szCs w:val="24"/>
        </w:rPr>
        <w:t>причалы, предназначенные для перевалки нефтепродуктов, нефтетерминалы и перегрузочные комплексы нефтепродуктов.</w:t>
      </w:r>
      <w:r w:rsidR="00E24474">
        <w:rPr>
          <w:rFonts w:ascii="Times New Roman" w:hAnsi="Times New Roman" w:cs="Times New Roman"/>
          <w:i/>
          <w:sz w:val="24"/>
          <w:szCs w:val="24"/>
        </w:rPr>
        <w:t xml:space="preserve"> </w:t>
      </w:r>
    </w:p>
    <w:p w14:paraId="068338A2" w14:textId="58CD1186" w:rsidR="00871E9A" w:rsidRDefault="0061419A" w:rsidP="009D7ABE">
      <w:pPr>
        <w:pStyle w:val="228bf8a64b8551e1msonormal"/>
        <w:numPr>
          <w:ilvl w:val="0"/>
          <w:numId w:val="8"/>
        </w:numPr>
        <w:shd w:val="clear" w:color="auto" w:fill="FFFFFF"/>
        <w:spacing w:before="0" w:beforeAutospacing="0" w:after="0" w:afterAutospacing="0" w:line="276" w:lineRule="auto"/>
        <w:jc w:val="both"/>
        <w:rPr>
          <w:color w:val="000000"/>
          <w:sz w:val="25"/>
          <w:szCs w:val="25"/>
        </w:rPr>
      </w:pPr>
      <w:r>
        <w:rPr>
          <w:color w:val="000000"/>
          <w:sz w:val="25"/>
          <w:szCs w:val="25"/>
        </w:rPr>
        <w:t>П</w:t>
      </w:r>
      <w:r w:rsidR="00871E9A" w:rsidRPr="00DE3304">
        <w:rPr>
          <w:color w:val="000000"/>
          <w:sz w:val="25"/>
          <w:szCs w:val="25"/>
        </w:rPr>
        <w:t>еренос в ТР ТС 013/2011</w:t>
      </w:r>
      <w:r w:rsidR="00871E9A" w:rsidRPr="008C42C2">
        <w:rPr>
          <w:color w:val="000000"/>
          <w:sz w:val="25"/>
          <w:szCs w:val="25"/>
        </w:rPr>
        <w:t xml:space="preserve"> </w:t>
      </w:r>
      <w:r w:rsidR="00871E9A" w:rsidRPr="00DE3304">
        <w:rPr>
          <w:color w:val="000000"/>
          <w:sz w:val="25"/>
          <w:szCs w:val="25"/>
        </w:rPr>
        <w:t xml:space="preserve">срока вступления в силу требования для внутренних перевозок и/или в целом исключения требования по норме содержания массовой доли серы в судовых топливах на уровне не более 0,5 %, </w:t>
      </w:r>
      <w:r w:rsidR="00871E9A" w:rsidRPr="008C42C2">
        <w:rPr>
          <w:color w:val="000000"/>
          <w:sz w:val="25"/>
          <w:szCs w:val="25"/>
        </w:rPr>
        <w:t>до 2029 года;</w:t>
      </w:r>
    </w:p>
    <w:p w14:paraId="4BECE797" w14:textId="77777777" w:rsidR="008D5A41" w:rsidRDefault="008D5A41" w:rsidP="008D5A41">
      <w:pPr>
        <w:pStyle w:val="228bf8a64b8551e1msonormal"/>
        <w:shd w:val="clear" w:color="auto" w:fill="FFFFFF"/>
        <w:spacing w:before="0" w:beforeAutospacing="0" w:after="0" w:afterAutospacing="0" w:line="276" w:lineRule="auto"/>
        <w:ind w:left="1211"/>
        <w:jc w:val="both"/>
        <w:rPr>
          <w:color w:val="000000"/>
          <w:sz w:val="25"/>
          <w:szCs w:val="25"/>
        </w:rPr>
      </w:pPr>
    </w:p>
    <w:p w14:paraId="2C7A6933" w14:textId="1CE04398" w:rsidR="008D5A41" w:rsidRDefault="008D5A41" w:rsidP="00290AE3">
      <w:pPr>
        <w:pStyle w:val="228bf8a64b8551e1msonormal"/>
        <w:numPr>
          <w:ilvl w:val="0"/>
          <w:numId w:val="8"/>
        </w:numPr>
        <w:shd w:val="clear" w:color="auto" w:fill="FFFFFF"/>
        <w:spacing w:before="240" w:beforeAutospacing="0" w:after="0" w:afterAutospacing="0" w:line="276" w:lineRule="auto"/>
        <w:jc w:val="both"/>
      </w:pPr>
      <w:r w:rsidRPr="008D5A41">
        <w:rPr>
          <w:color w:val="000000"/>
          <w:sz w:val="25"/>
          <w:szCs w:val="25"/>
        </w:rPr>
        <w:lastRenderedPageBreak/>
        <w:t>У</w:t>
      </w:r>
      <w:r w:rsidR="00871E9A" w:rsidRPr="008D5A41">
        <w:rPr>
          <w:color w:val="000000"/>
          <w:sz w:val="25"/>
          <w:szCs w:val="25"/>
        </w:rPr>
        <w:t>величение разрешенного объема бункеровок путем внесения соответствующих изменений в Решение ЕЭК № 131 с 2024 года;</w:t>
      </w:r>
      <w:r>
        <w:rPr>
          <w:color w:val="000000"/>
          <w:sz w:val="25"/>
          <w:szCs w:val="25"/>
        </w:rPr>
        <w:tab/>
      </w:r>
      <w:r>
        <w:rPr>
          <w:color w:val="000000"/>
          <w:sz w:val="25"/>
          <w:szCs w:val="25"/>
        </w:rPr>
        <w:tab/>
      </w:r>
      <w:r>
        <w:rPr>
          <w:color w:val="000000"/>
          <w:sz w:val="25"/>
          <w:szCs w:val="25"/>
        </w:rPr>
        <w:tab/>
      </w:r>
      <w:r>
        <w:rPr>
          <w:color w:val="000000"/>
          <w:sz w:val="25"/>
          <w:szCs w:val="25"/>
        </w:rPr>
        <w:tab/>
        <w:t xml:space="preserve">            </w:t>
      </w:r>
      <w:r w:rsidRPr="008D5A41">
        <w:rPr>
          <w:i/>
          <w:u w:val="single"/>
        </w:rPr>
        <w:t>Примечание:</w:t>
      </w:r>
      <w:r w:rsidRPr="008D5A41">
        <w:rPr>
          <w:i/>
        </w:rPr>
        <w:t xml:space="preserve"> В фискальных целях Решением Коллегии Евразийской экономической комиссии от 1 ноября 2016 года N 131 (далее - Решение ЕЭК 131) были определены количественные нормы бункерного топлива, перемещаемого в качестве припасов водными судами через таможенную границу ЕАЭС. В связи с отменой вывозных пошлин на нефтепродукты необходимость в установлении количественных норм топлива, вывозимого в качестве припасов, требуется исключительно в целях его таможенного оформления, т.е. для определения того, какое количество судового топлива может быть оформлено в качестве припасов и перемещено за пределы Союза без помещения под таможенную процедуру. Для наполнения рынка реализации бункерного топлива в портах РФ представляется целесообразным инициировать отмену указанных в </w:t>
      </w:r>
      <w:proofErr w:type="spellStart"/>
      <w:r w:rsidRPr="008D5A41">
        <w:rPr>
          <w:i/>
        </w:rPr>
        <w:t>пп</w:t>
      </w:r>
      <w:proofErr w:type="spellEnd"/>
      <w:r w:rsidRPr="008D5A41">
        <w:rPr>
          <w:i/>
        </w:rPr>
        <w:t>. «б» п. 1 Решения ЕЭК 131 ограничений по вывозу топлива в качестве припасов с 01.01.2024 года при условии погрузки топлива в специальные емкости судов, предназначенные для бункера</w:t>
      </w:r>
      <w:r w:rsidRPr="008D5A41">
        <w:t>.</w:t>
      </w:r>
    </w:p>
    <w:p w14:paraId="689F4DAD" w14:textId="360629DA" w:rsidR="00E263B3" w:rsidRPr="00E263B3" w:rsidRDefault="00E263B3" w:rsidP="00E263B3">
      <w:pPr>
        <w:pStyle w:val="a3"/>
        <w:numPr>
          <w:ilvl w:val="0"/>
          <w:numId w:val="8"/>
        </w:numPr>
        <w:spacing w:before="240"/>
        <w:jc w:val="both"/>
        <w:rPr>
          <w:rFonts w:ascii="Times New Roman" w:hAnsi="Times New Roman" w:cs="Times New Roman"/>
          <w:sz w:val="24"/>
          <w:szCs w:val="24"/>
        </w:rPr>
      </w:pPr>
      <w:r w:rsidRPr="00E263B3">
        <w:rPr>
          <w:rFonts w:ascii="Times New Roman" w:hAnsi="Times New Roman" w:cs="Times New Roman"/>
          <w:sz w:val="24"/>
          <w:szCs w:val="24"/>
        </w:rPr>
        <w:t xml:space="preserve">Получение господдержки при инвестициях в бункеровочную инфраструктуру, в том числе на </w:t>
      </w:r>
      <w:r>
        <w:rPr>
          <w:rFonts w:ascii="Times New Roman" w:hAnsi="Times New Roman" w:cs="Times New Roman"/>
          <w:sz w:val="24"/>
          <w:szCs w:val="24"/>
        </w:rPr>
        <w:t xml:space="preserve">Дальнем Востоке и </w:t>
      </w:r>
      <w:r w:rsidRPr="00E263B3">
        <w:rPr>
          <w:rFonts w:ascii="Times New Roman" w:hAnsi="Times New Roman" w:cs="Times New Roman"/>
          <w:sz w:val="24"/>
          <w:szCs w:val="24"/>
        </w:rPr>
        <w:t>СМП, в соответствии с Федеральным законом от 01.04.2020 N 69-ФЗ «О защите и поощрении капиталовложений в Российской Федерации».</w:t>
      </w:r>
    </w:p>
    <w:p w14:paraId="4273CC93" w14:textId="33699F0D" w:rsidR="00E263B3" w:rsidRDefault="00E263B3" w:rsidP="00E263B3">
      <w:pPr>
        <w:pStyle w:val="a3"/>
        <w:spacing w:before="240"/>
        <w:ind w:left="1211"/>
        <w:jc w:val="both"/>
        <w:rPr>
          <w:rFonts w:ascii="Times New Roman" w:hAnsi="Times New Roman" w:cs="Times New Roman"/>
          <w:i/>
          <w:sz w:val="24"/>
          <w:szCs w:val="24"/>
        </w:rPr>
      </w:pPr>
      <w:r w:rsidRPr="00E263B3">
        <w:rPr>
          <w:rFonts w:ascii="Times New Roman" w:hAnsi="Times New Roman" w:cs="Times New Roman"/>
          <w:i/>
          <w:sz w:val="24"/>
          <w:szCs w:val="24"/>
          <w:u w:val="single"/>
        </w:rPr>
        <w:t>Примечание:</w:t>
      </w:r>
      <w:r w:rsidRPr="00E263B3">
        <w:rPr>
          <w:rFonts w:ascii="Times New Roman" w:hAnsi="Times New Roman" w:cs="Times New Roman"/>
          <w:i/>
          <w:sz w:val="24"/>
          <w:szCs w:val="24"/>
        </w:rPr>
        <w:t xml:space="preserve"> Возможность получения господдержки путем заключения соглашения о защите и поощрении капиталовложений. В соответствии с требованиями Федерального закона от 01.04.2020 N 69-ФЗ «О защите и поощрении капиталовложений в Российской </w:t>
      </w:r>
      <w:proofErr w:type="gramStart"/>
      <w:r w:rsidRPr="00E263B3">
        <w:rPr>
          <w:rFonts w:ascii="Times New Roman" w:hAnsi="Times New Roman" w:cs="Times New Roman"/>
          <w:i/>
          <w:sz w:val="24"/>
          <w:szCs w:val="24"/>
        </w:rPr>
        <w:t>Федерации»  одним</w:t>
      </w:r>
      <w:proofErr w:type="gramEnd"/>
      <w:r w:rsidRPr="00E263B3">
        <w:rPr>
          <w:rFonts w:ascii="Times New Roman" w:hAnsi="Times New Roman" w:cs="Times New Roman"/>
          <w:i/>
          <w:sz w:val="24"/>
          <w:szCs w:val="24"/>
        </w:rPr>
        <w:t xml:space="preserve"> из условий заключения соглашения является размер инвестиций более 5 млрд. руб. (без учета кредитных средств, бюджетных дотаций и расходов на ПИР). Таким образом снижение предполагаемого размера капиталовложений до приемлемого уровня, обычного при строительстве бункерной инфраструктуры будет являться основанием для заключения соглашения. При этом одним из дополнительных оснований для заключения соглашений с пониженным порогом капиталовложений может быть их инвестирование в строительство инфраструктуры СМП (в том числе и бункеровочной).</w:t>
      </w:r>
    </w:p>
    <w:p w14:paraId="760795ED" w14:textId="77777777" w:rsidR="00903D1F" w:rsidRDefault="00903D1F" w:rsidP="00E263B3">
      <w:pPr>
        <w:pStyle w:val="a3"/>
        <w:spacing w:before="240"/>
        <w:ind w:left="1211"/>
        <w:jc w:val="both"/>
        <w:rPr>
          <w:rFonts w:ascii="Times New Roman" w:hAnsi="Times New Roman" w:cs="Times New Roman"/>
          <w:i/>
          <w:sz w:val="24"/>
          <w:szCs w:val="24"/>
        </w:rPr>
      </w:pPr>
    </w:p>
    <w:p w14:paraId="3C62E738" w14:textId="77777777" w:rsidR="00182392" w:rsidRPr="00182392" w:rsidRDefault="00182392" w:rsidP="00182392">
      <w:pPr>
        <w:pStyle w:val="a3"/>
        <w:numPr>
          <w:ilvl w:val="0"/>
          <w:numId w:val="8"/>
        </w:numPr>
        <w:spacing w:before="240"/>
        <w:jc w:val="both"/>
        <w:rPr>
          <w:rFonts w:ascii="Times New Roman" w:hAnsi="Times New Roman" w:cs="Times New Roman"/>
          <w:sz w:val="24"/>
          <w:szCs w:val="24"/>
        </w:rPr>
      </w:pPr>
      <w:r w:rsidRPr="00182392">
        <w:rPr>
          <w:rFonts w:ascii="Times New Roman" w:hAnsi="Times New Roman" w:cs="Times New Roman"/>
          <w:sz w:val="24"/>
          <w:szCs w:val="24"/>
        </w:rPr>
        <w:t>Предоставление льгот по портовым сборам для судов-бункеровщиков.</w:t>
      </w:r>
    </w:p>
    <w:p w14:paraId="5CFBA6BB" w14:textId="0C76F4A3" w:rsidR="00182392" w:rsidRDefault="00182392" w:rsidP="00182392">
      <w:pPr>
        <w:pStyle w:val="a3"/>
        <w:spacing w:before="240"/>
        <w:ind w:left="1211"/>
        <w:jc w:val="both"/>
        <w:rPr>
          <w:rFonts w:ascii="Times New Roman" w:hAnsi="Times New Roman" w:cs="Times New Roman"/>
          <w:i/>
          <w:iCs/>
          <w:sz w:val="24"/>
          <w:szCs w:val="24"/>
        </w:rPr>
      </w:pPr>
      <w:r w:rsidRPr="00182392">
        <w:rPr>
          <w:rFonts w:ascii="Times New Roman" w:hAnsi="Times New Roman" w:cs="Times New Roman"/>
          <w:i/>
          <w:iCs/>
          <w:sz w:val="24"/>
          <w:szCs w:val="24"/>
          <w:u w:val="single"/>
        </w:rPr>
        <w:t>Примечание</w:t>
      </w:r>
      <w:proofErr w:type="gramStart"/>
      <w:r w:rsidRPr="00182392">
        <w:rPr>
          <w:rFonts w:ascii="Times New Roman" w:hAnsi="Times New Roman" w:cs="Times New Roman"/>
          <w:i/>
          <w:iCs/>
          <w:sz w:val="24"/>
          <w:szCs w:val="24"/>
          <w:u w:val="single"/>
        </w:rPr>
        <w:t>:</w:t>
      </w:r>
      <w:r w:rsidRPr="00182392">
        <w:rPr>
          <w:rFonts w:ascii="Times New Roman" w:hAnsi="Times New Roman" w:cs="Times New Roman"/>
          <w:i/>
          <w:iCs/>
          <w:sz w:val="24"/>
          <w:szCs w:val="24"/>
        </w:rPr>
        <w:t xml:space="preserve"> Освободить</w:t>
      </w:r>
      <w:proofErr w:type="gramEnd"/>
      <w:r w:rsidRPr="00182392">
        <w:rPr>
          <w:rFonts w:ascii="Times New Roman" w:hAnsi="Times New Roman" w:cs="Times New Roman"/>
          <w:i/>
          <w:iCs/>
          <w:sz w:val="24"/>
          <w:szCs w:val="24"/>
        </w:rPr>
        <w:t xml:space="preserve"> суда-бункеровщики от портовых сборов, взимаемых при переходе из порта в порт для осуществления бункеровочных операций. В настоящее время могут устанавливаться следующие виды портовых сборов: 1) корабельный; 2) канальный; 3) ледокольный; 4) лоцманский; 5) маячный; 6) навигационный; 7) причальный; 8) экологический; 9) транспортной безопасности акватории морского порта; 10) инвестиционный. </w:t>
      </w:r>
      <w:proofErr w:type="spellStart"/>
      <w:r w:rsidRPr="00182392">
        <w:rPr>
          <w:rFonts w:ascii="Times New Roman" w:hAnsi="Times New Roman" w:cs="Times New Roman"/>
          <w:i/>
          <w:iCs/>
          <w:sz w:val="24"/>
          <w:szCs w:val="24"/>
        </w:rPr>
        <w:t>Пп</w:t>
      </w:r>
      <w:proofErr w:type="spellEnd"/>
      <w:r w:rsidRPr="00182392">
        <w:rPr>
          <w:rFonts w:ascii="Times New Roman" w:hAnsi="Times New Roman" w:cs="Times New Roman"/>
          <w:i/>
          <w:iCs/>
          <w:sz w:val="24"/>
          <w:szCs w:val="24"/>
        </w:rPr>
        <w:t>. 7 п. 1.12 Правил применения портовых сборов предусмотрено освобождение от уплаты портовых сборов (кроме лоцманского сбора) судов, осуществляющих операции по обслуживанию и снабжению судов, объектов инфраструктуры морского порта и работающих в акватории одного морского порта или смежных акваториях морских портов. Предлагается освободить (предоставить льготы) указанные суда (суда-бункеровщики) от уплаты всех портовых сборов (кроме лоцманского сбора) во всех портах, в которых они осуществляют бункеровочные операции.</w:t>
      </w:r>
    </w:p>
    <w:p w14:paraId="4A93C344" w14:textId="01E5CCEE" w:rsidR="00EC6930" w:rsidRDefault="00EC6930" w:rsidP="00182392">
      <w:pPr>
        <w:pStyle w:val="a3"/>
        <w:spacing w:before="240"/>
        <w:ind w:left="1211"/>
        <w:jc w:val="both"/>
        <w:rPr>
          <w:rFonts w:ascii="Times New Roman" w:hAnsi="Times New Roman" w:cs="Times New Roman"/>
          <w:i/>
          <w:iCs/>
          <w:sz w:val="24"/>
          <w:szCs w:val="24"/>
        </w:rPr>
      </w:pPr>
    </w:p>
    <w:p w14:paraId="5D67EBC9" w14:textId="31791A84" w:rsidR="00EB79C2" w:rsidRPr="00EB79C2" w:rsidRDefault="00EB79C2" w:rsidP="00EB79C2">
      <w:pPr>
        <w:pStyle w:val="a3"/>
        <w:numPr>
          <w:ilvl w:val="0"/>
          <w:numId w:val="8"/>
        </w:numPr>
        <w:spacing w:before="240"/>
        <w:jc w:val="both"/>
        <w:rPr>
          <w:rFonts w:ascii="Times New Roman" w:hAnsi="Times New Roman" w:cs="Times New Roman"/>
          <w:sz w:val="24"/>
          <w:szCs w:val="24"/>
        </w:rPr>
      </w:pPr>
      <w:r w:rsidRPr="00EB79C2">
        <w:rPr>
          <w:rFonts w:ascii="Times New Roman" w:hAnsi="Times New Roman" w:cs="Times New Roman"/>
          <w:sz w:val="24"/>
          <w:szCs w:val="24"/>
        </w:rPr>
        <w:lastRenderedPageBreak/>
        <w:t>Перенос бремени расходов на несение постоянной готовности к ликвидации разливов нефтепродуктов в морских портах с бункеровочных компаний на портовые власти, через достаточное бюджетное финансирование несения такой готовности.</w:t>
      </w:r>
    </w:p>
    <w:p w14:paraId="76CD75D4" w14:textId="7F42F276" w:rsidR="00EB79C2" w:rsidRDefault="00EB79C2" w:rsidP="00EB79C2">
      <w:pPr>
        <w:pStyle w:val="a3"/>
        <w:spacing w:before="240"/>
        <w:ind w:left="1211"/>
        <w:jc w:val="both"/>
        <w:rPr>
          <w:rFonts w:ascii="Times New Roman" w:hAnsi="Times New Roman" w:cs="Times New Roman"/>
          <w:i/>
          <w:sz w:val="24"/>
          <w:szCs w:val="24"/>
        </w:rPr>
      </w:pPr>
      <w:r w:rsidRPr="00EB79C2">
        <w:rPr>
          <w:rFonts w:ascii="Times New Roman" w:hAnsi="Times New Roman" w:cs="Times New Roman"/>
          <w:i/>
          <w:sz w:val="24"/>
          <w:szCs w:val="24"/>
          <w:u w:val="single"/>
        </w:rPr>
        <w:t>Примечание:</w:t>
      </w:r>
      <w:r w:rsidRPr="00EB79C2">
        <w:rPr>
          <w:rFonts w:ascii="Times New Roman" w:hAnsi="Times New Roman" w:cs="Times New Roman"/>
          <w:i/>
          <w:sz w:val="24"/>
          <w:szCs w:val="24"/>
        </w:rPr>
        <w:t xml:space="preserve"> Необходимость обеспечения централизованного и единоличного несения аварийно-спасательной готовности, в том числе к ликвидации аварийных разливов нефти и нефтепродуктов на акватории портов, портовыми властями, финансируемыми из бюджета, давно назрела. Необходимость перенести расходы на </w:t>
      </w:r>
      <w:r w:rsidR="00296B4C">
        <w:rPr>
          <w:rFonts w:ascii="Times New Roman" w:hAnsi="Times New Roman" w:cs="Times New Roman"/>
          <w:i/>
          <w:sz w:val="24"/>
          <w:szCs w:val="24"/>
        </w:rPr>
        <w:t>несение аварийно-спасательной готовности</w:t>
      </w:r>
      <w:r w:rsidRPr="00EB79C2">
        <w:rPr>
          <w:rFonts w:ascii="Times New Roman" w:hAnsi="Times New Roman" w:cs="Times New Roman"/>
          <w:i/>
          <w:sz w:val="24"/>
          <w:szCs w:val="24"/>
        </w:rPr>
        <w:t xml:space="preserve"> в морских портах на портовые власти, финансируемые из бюджета, и исключение такой обязанности для бункеровочных компаний и морских терминалов обусловлена общепринятой мировой практикой, в соответствии с которой каждое заходящее в порт судно платит целевой </w:t>
      </w:r>
      <w:proofErr w:type="spellStart"/>
      <w:r w:rsidRPr="00EB79C2">
        <w:rPr>
          <w:rFonts w:ascii="Times New Roman" w:hAnsi="Times New Roman" w:cs="Times New Roman"/>
          <w:i/>
          <w:sz w:val="24"/>
          <w:szCs w:val="24"/>
        </w:rPr>
        <w:t>аварийно</w:t>
      </w:r>
      <w:proofErr w:type="spellEnd"/>
      <w:r w:rsidRPr="00EB79C2">
        <w:rPr>
          <w:rFonts w:ascii="Times New Roman" w:hAnsi="Times New Roman" w:cs="Times New Roman"/>
          <w:i/>
          <w:sz w:val="24"/>
          <w:szCs w:val="24"/>
        </w:rPr>
        <w:t xml:space="preserve"> – спасательный сбор на обеспечение в порту готовности к ликвидации аварийной ситуации (включая разливы нефти и нефтепродуктов) силами финансируемых из накопленных таким способом средств профессиональных аварийно-спасательных формирований (служб). Вместе с тем, в настоящее время администрации портов по законодательству обязаны разрабатывать портовые планы ликвидации разливов нефти и нефтепродуктов для каждого порта и заключать договоры с профессиональными аварийно-спасательными формированиями (службами), что ими и делается. Однако, </w:t>
      </w:r>
      <w:r w:rsidRPr="00EB79C2">
        <w:rPr>
          <w:rFonts w:ascii="Times New Roman" w:hAnsi="Times New Roman" w:cs="Times New Roman"/>
          <w:i/>
          <w:sz w:val="24"/>
          <w:szCs w:val="24"/>
          <w:u w:val="single"/>
        </w:rPr>
        <w:t xml:space="preserve">под предлогом недостаточности государственного финансирования на несение такой готовности, в реальности  в соответствии с законодательством все бремя расходов на обеспечение в порту готовности к ликвидации разливов нефти и нефтепродуктов профессиональными (либо собственными нештатными) аварийно-спасательными формированиями (службами) возложено на осуществляющие деятельность в порту бункеровочные </w:t>
      </w:r>
      <w:r w:rsidRPr="00E131EB">
        <w:rPr>
          <w:rFonts w:ascii="Times New Roman" w:hAnsi="Times New Roman" w:cs="Times New Roman"/>
          <w:i/>
          <w:sz w:val="24"/>
          <w:szCs w:val="24"/>
          <w:u w:val="single"/>
        </w:rPr>
        <w:t>компании</w:t>
      </w:r>
      <w:r w:rsidR="00F7452B" w:rsidRPr="00E131EB">
        <w:rPr>
          <w:rFonts w:ascii="Times New Roman" w:hAnsi="Times New Roman" w:cs="Times New Roman"/>
          <w:i/>
          <w:sz w:val="24"/>
          <w:szCs w:val="24"/>
        </w:rPr>
        <w:t xml:space="preserve"> (при этом ежемесячная стоимость несения готовности </w:t>
      </w:r>
      <w:r w:rsidR="00E131EB" w:rsidRPr="00E131EB">
        <w:rPr>
          <w:rFonts w:ascii="Times New Roman" w:hAnsi="Times New Roman" w:cs="Times New Roman"/>
          <w:i/>
          <w:sz w:val="24"/>
          <w:szCs w:val="24"/>
        </w:rPr>
        <w:t xml:space="preserve">к ликвидации разливов нефти </w:t>
      </w:r>
      <w:r w:rsidR="00F7452B" w:rsidRPr="00E131EB">
        <w:rPr>
          <w:rFonts w:ascii="Times New Roman" w:hAnsi="Times New Roman" w:cs="Times New Roman"/>
          <w:i/>
          <w:sz w:val="24"/>
          <w:szCs w:val="24"/>
        </w:rPr>
        <w:t>д</w:t>
      </w:r>
      <w:r w:rsidR="00E131EB" w:rsidRPr="00E131EB">
        <w:rPr>
          <w:rFonts w:ascii="Times New Roman" w:hAnsi="Times New Roman" w:cs="Times New Roman"/>
          <w:i/>
          <w:sz w:val="24"/>
          <w:szCs w:val="24"/>
        </w:rPr>
        <w:t xml:space="preserve">ля средней бункеровочной компании составляет ориентировочно </w:t>
      </w:r>
      <w:r w:rsidR="00E131EB" w:rsidRPr="00E131EB">
        <w:rPr>
          <w:rFonts w:ascii="Times New Roman" w:hAnsi="Times New Roman" w:cs="Times New Roman"/>
          <w:b/>
          <w:bCs/>
          <w:i/>
          <w:sz w:val="24"/>
          <w:szCs w:val="24"/>
        </w:rPr>
        <w:t>от 1,5 - 2 млн. рублей</w:t>
      </w:r>
      <w:r w:rsidR="00E131EB" w:rsidRPr="00E131EB">
        <w:rPr>
          <w:rFonts w:ascii="Times New Roman" w:hAnsi="Times New Roman" w:cs="Times New Roman"/>
          <w:i/>
          <w:sz w:val="24"/>
          <w:szCs w:val="24"/>
        </w:rPr>
        <w:t>, причем если случается разлив нефтепродуктов, то стоимость ликвидации такого разлива оплачивается отдельно</w:t>
      </w:r>
      <w:r w:rsidR="00E131EB">
        <w:rPr>
          <w:rFonts w:ascii="Times New Roman" w:hAnsi="Times New Roman" w:cs="Times New Roman"/>
          <w:i/>
          <w:sz w:val="24"/>
          <w:szCs w:val="24"/>
        </w:rPr>
        <w:t xml:space="preserve"> от указанной оплаты за несение готовности</w:t>
      </w:r>
      <w:r w:rsidR="00F7452B" w:rsidRPr="00E131EB">
        <w:rPr>
          <w:rFonts w:ascii="Times New Roman" w:hAnsi="Times New Roman" w:cs="Times New Roman"/>
          <w:i/>
          <w:sz w:val="24"/>
          <w:szCs w:val="24"/>
        </w:rPr>
        <w:t>)</w:t>
      </w:r>
      <w:r w:rsidRPr="00E131EB">
        <w:rPr>
          <w:rFonts w:ascii="Times New Roman" w:hAnsi="Times New Roman" w:cs="Times New Roman"/>
          <w:i/>
          <w:sz w:val="24"/>
          <w:szCs w:val="24"/>
        </w:rPr>
        <w:t>.</w:t>
      </w:r>
    </w:p>
    <w:p w14:paraId="2092BDB8" w14:textId="77777777" w:rsidR="00903D1F" w:rsidRPr="00E131EB" w:rsidRDefault="00903D1F" w:rsidP="00EB79C2">
      <w:pPr>
        <w:pStyle w:val="a3"/>
        <w:spacing w:before="240"/>
        <w:ind w:left="1211"/>
        <w:jc w:val="both"/>
        <w:rPr>
          <w:rFonts w:ascii="Times New Roman" w:hAnsi="Times New Roman" w:cs="Times New Roman"/>
          <w:i/>
          <w:sz w:val="24"/>
          <w:szCs w:val="24"/>
        </w:rPr>
      </w:pPr>
    </w:p>
    <w:p w14:paraId="4148D551" w14:textId="77777777" w:rsidR="008B129B" w:rsidRDefault="007A5C9A" w:rsidP="007A5C9A">
      <w:pPr>
        <w:pStyle w:val="a3"/>
        <w:numPr>
          <w:ilvl w:val="0"/>
          <w:numId w:val="8"/>
        </w:numPr>
        <w:spacing w:before="240"/>
        <w:jc w:val="both"/>
        <w:rPr>
          <w:rFonts w:ascii="Times New Roman" w:hAnsi="Times New Roman" w:cs="Times New Roman"/>
          <w:sz w:val="24"/>
          <w:szCs w:val="24"/>
        </w:rPr>
      </w:pPr>
      <w:r>
        <w:rPr>
          <w:rFonts w:ascii="Times New Roman" w:hAnsi="Times New Roman" w:cs="Times New Roman"/>
          <w:sz w:val="24"/>
          <w:szCs w:val="24"/>
        </w:rPr>
        <w:t xml:space="preserve">Обнуление ввозных таможенных пошлин и ставки налога на добавленную стоимость на приобретаемый судовладельцами судовой ЗИП, оборудование и суда. Отмена таможенных сборов, ввозной антидемпинговой пошлины на запасные части и расходные материалы </w:t>
      </w:r>
      <w:r w:rsidR="00E24474">
        <w:rPr>
          <w:rFonts w:ascii="Times New Roman" w:hAnsi="Times New Roman" w:cs="Times New Roman"/>
          <w:sz w:val="24"/>
          <w:szCs w:val="24"/>
        </w:rPr>
        <w:t>для восстановительного ремонта судов</w:t>
      </w:r>
      <w:r w:rsidR="00AB3300">
        <w:rPr>
          <w:rFonts w:ascii="Times New Roman" w:hAnsi="Times New Roman" w:cs="Times New Roman"/>
          <w:sz w:val="24"/>
          <w:szCs w:val="24"/>
        </w:rPr>
        <w:t>, при условии подтверждения целевого использования от импортера к каждой таможенной декларации.</w:t>
      </w:r>
    </w:p>
    <w:p w14:paraId="44770519" w14:textId="69B0DE30" w:rsidR="007A5C9A" w:rsidRDefault="00E24474" w:rsidP="008B129B">
      <w:pPr>
        <w:pStyle w:val="a3"/>
        <w:spacing w:before="240"/>
        <w:ind w:left="1211"/>
        <w:jc w:val="both"/>
        <w:rPr>
          <w:rFonts w:ascii="Times New Roman" w:hAnsi="Times New Roman" w:cs="Times New Roman"/>
          <w:sz w:val="24"/>
          <w:szCs w:val="24"/>
        </w:rPr>
      </w:pPr>
      <w:r>
        <w:rPr>
          <w:rFonts w:ascii="Times New Roman" w:hAnsi="Times New Roman" w:cs="Times New Roman"/>
          <w:sz w:val="24"/>
          <w:szCs w:val="24"/>
        </w:rPr>
        <w:t xml:space="preserve"> </w:t>
      </w:r>
    </w:p>
    <w:p w14:paraId="7F683FE3" w14:textId="222C6443" w:rsidR="00EB79C2" w:rsidRDefault="004D6479" w:rsidP="00182392">
      <w:pPr>
        <w:pStyle w:val="a3"/>
        <w:numPr>
          <w:ilvl w:val="0"/>
          <w:numId w:val="8"/>
        </w:numPr>
        <w:spacing w:before="240"/>
        <w:jc w:val="both"/>
        <w:rPr>
          <w:rFonts w:ascii="Times New Roman" w:hAnsi="Times New Roman" w:cs="Times New Roman"/>
          <w:sz w:val="24"/>
          <w:szCs w:val="24"/>
        </w:rPr>
      </w:pPr>
      <w:r>
        <w:rPr>
          <w:rFonts w:ascii="Times New Roman" w:hAnsi="Times New Roman" w:cs="Times New Roman"/>
          <w:sz w:val="24"/>
          <w:szCs w:val="24"/>
        </w:rPr>
        <w:t xml:space="preserve">Введение, в порядке предусмотренном постановлением Правительства РФ от 12 марта 2022 года № 353, минимум на 12 месяцев моратория на проведения очередных и внеочередных освидетельствований судов российскими </w:t>
      </w:r>
      <w:proofErr w:type="gramStart"/>
      <w:r>
        <w:rPr>
          <w:rFonts w:ascii="Times New Roman" w:hAnsi="Times New Roman" w:cs="Times New Roman"/>
          <w:sz w:val="24"/>
          <w:szCs w:val="24"/>
        </w:rPr>
        <w:t>организациями,  уполномоченными</w:t>
      </w:r>
      <w:proofErr w:type="gramEnd"/>
      <w:r>
        <w:rPr>
          <w:rFonts w:ascii="Times New Roman" w:hAnsi="Times New Roman" w:cs="Times New Roman"/>
          <w:sz w:val="24"/>
          <w:szCs w:val="24"/>
        </w:rPr>
        <w:t xml:space="preserve"> на классификацию и освидетельствования судов.</w:t>
      </w:r>
    </w:p>
    <w:p w14:paraId="0AFFDB85" w14:textId="77777777" w:rsidR="008B129B" w:rsidRPr="008B129B" w:rsidRDefault="008B129B" w:rsidP="008B129B">
      <w:pPr>
        <w:pStyle w:val="a3"/>
        <w:rPr>
          <w:rFonts w:ascii="Times New Roman" w:hAnsi="Times New Roman" w:cs="Times New Roman"/>
          <w:sz w:val="24"/>
          <w:szCs w:val="24"/>
        </w:rPr>
      </w:pPr>
    </w:p>
    <w:p w14:paraId="6D7AC6F1" w14:textId="17279566" w:rsidR="00C11D27" w:rsidRPr="00C11D27" w:rsidRDefault="008B129B" w:rsidP="00182392">
      <w:pPr>
        <w:pStyle w:val="a3"/>
        <w:numPr>
          <w:ilvl w:val="0"/>
          <w:numId w:val="8"/>
        </w:numPr>
        <w:spacing w:before="240"/>
        <w:jc w:val="both"/>
        <w:rPr>
          <w:rFonts w:ascii="Times New Roman" w:hAnsi="Times New Roman" w:cs="Times New Roman"/>
          <w:i/>
          <w:iCs/>
          <w:sz w:val="24"/>
          <w:szCs w:val="24"/>
          <w:u w:val="single"/>
        </w:rPr>
      </w:pPr>
      <w:r>
        <w:rPr>
          <w:rFonts w:ascii="Times New Roman" w:hAnsi="Times New Roman" w:cs="Times New Roman"/>
          <w:sz w:val="24"/>
          <w:szCs w:val="24"/>
        </w:rPr>
        <w:t xml:space="preserve">Отмена обязательного одобрения </w:t>
      </w:r>
      <w:r w:rsidR="00EE3E5B">
        <w:rPr>
          <w:rFonts w:ascii="Times New Roman" w:hAnsi="Times New Roman" w:cs="Times New Roman"/>
          <w:sz w:val="24"/>
          <w:szCs w:val="24"/>
        </w:rPr>
        <w:t xml:space="preserve">российскими </w:t>
      </w:r>
      <w:proofErr w:type="gramStart"/>
      <w:r w:rsidR="00EE3E5B">
        <w:rPr>
          <w:rFonts w:ascii="Times New Roman" w:hAnsi="Times New Roman" w:cs="Times New Roman"/>
          <w:sz w:val="24"/>
          <w:szCs w:val="24"/>
        </w:rPr>
        <w:t>организациями,  уполномоченными</w:t>
      </w:r>
      <w:proofErr w:type="gramEnd"/>
      <w:r w:rsidR="00EE3E5B">
        <w:rPr>
          <w:rFonts w:ascii="Times New Roman" w:hAnsi="Times New Roman" w:cs="Times New Roman"/>
          <w:sz w:val="24"/>
          <w:szCs w:val="24"/>
        </w:rPr>
        <w:t xml:space="preserve"> на классификацию и освидетельствования судов, </w:t>
      </w:r>
      <w:r>
        <w:rPr>
          <w:rFonts w:ascii="Times New Roman" w:hAnsi="Times New Roman" w:cs="Times New Roman"/>
          <w:sz w:val="24"/>
          <w:szCs w:val="24"/>
        </w:rPr>
        <w:t>материалов и изделий</w:t>
      </w:r>
      <w:r w:rsidR="00EE3E5B">
        <w:rPr>
          <w:rFonts w:ascii="Times New Roman" w:hAnsi="Times New Roman" w:cs="Times New Roman"/>
          <w:sz w:val="24"/>
          <w:szCs w:val="24"/>
        </w:rPr>
        <w:t>,</w:t>
      </w:r>
      <w:r>
        <w:rPr>
          <w:rFonts w:ascii="Times New Roman" w:hAnsi="Times New Roman" w:cs="Times New Roman"/>
          <w:sz w:val="24"/>
          <w:szCs w:val="24"/>
        </w:rPr>
        <w:t xml:space="preserve"> применяемых</w:t>
      </w:r>
      <w:r w:rsidR="00EE3E5B">
        <w:rPr>
          <w:rFonts w:ascii="Times New Roman" w:hAnsi="Times New Roman" w:cs="Times New Roman"/>
          <w:sz w:val="24"/>
          <w:szCs w:val="24"/>
        </w:rPr>
        <w:t xml:space="preserve"> при ремонте судов.</w:t>
      </w:r>
      <w:r w:rsidR="00C11D27">
        <w:rPr>
          <w:rFonts w:ascii="Times New Roman" w:hAnsi="Times New Roman" w:cs="Times New Roman"/>
          <w:sz w:val="24"/>
          <w:szCs w:val="24"/>
        </w:rPr>
        <w:t xml:space="preserve"> </w:t>
      </w:r>
      <w:r w:rsidR="00C11D27">
        <w:rPr>
          <w:rFonts w:ascii="Times New Roman" w:hAnsi="Times New Roman" w:cs="Times New Roman"/>
          <w:sz w:val="24"/>
          <w:szCs w:val="24"/>
        </w:rPr>
        <w:tab/>
      </w:r>
      <w:r w:rsidR="00C11D27">
        <w:rPr>
          <w:rFonts w:ascii="Times New Roman" w:hAnsi="Times New Roman" w:cs="Times New Roman"/>
          <w:sz w:val="24"/>
          <w:szCs w:val="24"/>
        </w:rPr>
        <w:tab/>
      </w:r>
      <w:r w:rsidR="00C11D27">
        <w:rPr>
          <w:rFonts w:ascii="Times New Roman" w:hAnsi="Times New Roman" w:cs="Times New Roman"/>
          <w:sz w:val="24"/>
          <w:szCs w:val="24"/>
        </w:rPr>
        <w:tab/>
      </w:r>
      <w:r w:rsidR="00C11D27">
        <w:rPr>
          <w:rFonts w:ascii="Times New Roman" w:hAnsi="Times New Roman" w:cs="Times New Roman"/>
          <w:sz w:val="24"/>
          <w:szCs w:val="24"/>
        </w:rPr>
        <w:tab/>
      </w:r>
      <w:r w:rsidR="00C11D27">
        <w:rPr>
          <w:rFonts w:ascii="Times New Roman" w:hAnsi="Times New Roman" w:cs="Times New Roman"/>
          <w:sz w:val="24"/>
          <w:szCs w:val="24"/>
        </w:rPr>
        <w:tab/>
      </w:r>
      <w:r w:rsidR="00C11D27">
        <w:rPr>
          <w:rFonts w:ascii="Times New Roman" w:hAnsi="Times New Roman" w:cs="Times New Roman"/>
          <w:sz w:val="24"/>
          <w:szCs w:val="24"/>
        </w:rPr>
        <w:tab/>
      </w:r>
      <w:r w:rsidR="00C11D27">
        <w:rPr>
          <w:rFonts w:ascii="Times New Roman" w:hAnsi="Times New Roman" w:cs="Times New Roman"/>
          <w:sz w:val="24"/>
          <w:szCs w:val="24"/>
        </w:rPr>
        <w:tab/>
      </w:r>
      <w:r w:rsidR="00C11D27">
        <w:rPr>
          <w:rFonts w:ascii="Times New Roman" w:hAnsi="Times New Roman" w:cs="Times New Roman"/>
          <w:sz w:val="24"/>
          <w:szCs w:val="24"/>
        </w:rPr>
        <w:tab/>
      </w:r>
      <w:r w:rsidR="00C11D27">
        <w:rPr>
          <w:rFonts w:ascii="Times New Roman" w:hAnsi="Times New Roman" w:cs="Times New Roman"/>
          <w:sz w:val="24"/>
          <w:szCs w:val="24"/>
        </w:rPr>
        <w:tab/>
        <w:t xml:space="preserve">             </w:t>
      </w:r>
      <w:r w:rsidR="00C11D27" w:rsidRPr="00C11D27">
        <w:rPr>
          <w:rFonts w:ascii="Times New Roman" w:hAnsi="Times New Roman" w:cs="Times New Roman"/>
          <w:i/>
          <w:iCs/>
          <w:sz w:val="24"/>
          <w:szCs w:val="24"/>
          <w:u w:val="single"/>
        </w:rPr>
        <w:t>Примечание</w:t>
      </w:r>
      <w:r w:rsidR="00C11D27">
        <w:rPr>
          <w:rFonts w:ascii="Times New Roman" w:hAnsi="Times New Roman" w:cs="Times New Roman"/>
          <w:i/>
          <w:iCs/>
          <w:sz w:val="24"/>
          <w:szCs w:val="24"/>
          <w:u w:val="single"/>
        </w:rPr>
        <w:t>:</w:t>
      </w:r>
      <w:r w:rsidR="00C11D27">
        <w:rPr>
          <w:rFonts w:ascii="Times New Roman" w:hAnsi="Times New Roman" w:cs="Times New Roman"/>
          <w:i/>
          <w:iCs/>
          <w:sz w:val="24"/>
          <w:szCs w:val="24"/>
        </w:rPr>
        <w:t xml:space="preserve"> В связи с возросшим качеством продукции и материалов</w:t>
      </w:r>
      <w:r w:rsidR="008D480C">
        <w:rPr>
          <w:rFonts w:ascii="Times New Roman" w:hAnsi="Times New Roman" w:cs="Times New Roman"/>
          <w:i/>
          <w:iCs/>
          <w:sz w:val="24"/>
          <w:szCs w:val="24"/>
        </w:rPr>
        <w:t>,</w:t>
      </w:r>
      <w:r w:rsidR="00C11D27">
        <w:rPr>
          <w:rFonts w:ascii="Times New Roman" w:hAnsi="Times New Roman" w:cs="Times New Roman"/>
          <w:i/>
          <w:iCs/>
          <w:sz w:val="24"/>
          <w:szCs w:val="24"/>
        </w:rPr>
        <w:t xml:space="preserve"> выпускаемых для внутреннего рынка</w:t>
      </w:r>
      <w:r w:rsidR="008D480C">
        <w:rPr>
          <w:rFonts w:ascii="Times New Roman" w:hAnsi="Times New Roman" w:cs="Times New Roman"/>
          <w:i/>
          <w:iCs/>
          <w:sz w:val="24"/>
          <w:szCs w:val="24"/>
        </w:rPr>
        <w:t>, а также</w:t>
      </w:r>
      <w:r w:rsidR="00C11D27">
        <w:rPr>
          <w:rFonts w:ascii="Times New Roman" w:hAnsi="Times New Roman" w:cs="Times New Roman"/>
          <w:i/>
          <w:iCs/>
          <w:sz w:val="24"/>
          <w:szCs w:val="24"/>
        </w:rPr>
        <w:t xml:space="preserve"> </w:t>
      </w:r>
      <w:r w:rsidR="00D2528A">
        <w:rPr>
          <w:rFonts w:ascii="Times New Roman" w:hAnsi="Times New Roman" w:cs="Times New Roman"/>
          <w:i/>
          <w:iCs/>
          <w:sz w:val="24"/>
          <w:szCs w:val="24"/>
        </w:rPr>
        <w:t xml:space="preserve">значительной </w:t>
      </w:r>
      <w:r w:rsidR="00C11D27">
        <w:rPr>
          <w:rFonts w:ascii="Times New Roman" w:hAnsi="Times New Roman" w:cs="Times New Roman"/>
          <w:i/>
          <w:iCs/>
          <w:sz w:val="24"/>
          <w:szCs w:val="24"/>
        </w:rPr>
        <w:t xml:space="preserve">зависимостью российского флота от поставок  </w:t>
      </w:r>
      <w:r w:rsidR="00D2528A">
        <w:rPr>
          <w:rFonts w:ascii="Times New Roman" w:hAnsi="Times New Roman" w:cs="Times New Roman"/>
          <w:i/>
          <w:iCs/>
          <w:sz w:val="24"/>
          <w:szCs w:val="24"/>
        </w:rPr>
        <w:t xml:space="preserve">проводящих в отношении Российской Федерации санкционную политику </w:t>
      </w:r>
      <w:r w:rsidR="00C11D27">
        <w:rPr>
          <w:rFonts w:ascii="Times New Roman" w:hAnsi="Times New Roman" w:cs="Times New Roman"/>
          <w:i/>
          <w:iCs/>
          <w:sz w:val="24"/>
          <w:szCs w:val="24"/>
        </w:rPr>
        <w:lastRenderedPageBreak/>
        <w:t>европейских и американских компаний</w:t>
      </w:r>
      <w:r w:rsidR="008D480C">
        <w:rPr>
          <w:rFonts w:ascii="Times New Roman" w:hAnsi="Times New Roman" w:cs="Times New Roman"/>
          <w:i/>
          <w:iCs/>
          <w:sz w:val="24"/>
          <w:szCs w:val="24"/>
        </w:rPr>
        <w:t>,</w:t>
      </w:r>
      <w:r w:rsidR="00C11D27">
        <w:rPr>
          <w:rFonts w:ascii="Times New Roman" w:hAnsi="Times New Roman" w:cs="Times New Roman"/>
          <w:i/>
          <w:iCs/>
          <w:sz w:val="24"/>
          <w:szCs w:val="24"/>
        </w:rPr>
        <w:t xml:space="preserve"> </w:t>
      </w:r>
      <w:r w:rsidR="008D480C">
        <w:rPr>
          <w:rFonts w:ascii="Times New Roman" w:hAnsi="Times New Roman" w:cs="Times New Roman"/>
          <w:i/>
          <w:iCs/>
          <w:sz w:val="24"/>
          <w:szCs w:val="24"/>
        </w:rPr>
        <w:t>особенно в части запчастей для двигателей, кранового оборудования, гидравлики и т. д. (при условии обязанности судовладельца предоставить сертификаты на запасные части, которые невозможно получить при отказе производителя)</w:t>
      </w:r>
      <w:r w:rsidR="00D2528A">
        <w:rPr>
          <w:rFonts w:ascii="Times New Roman" w:hAnsi="Times New Roman" w:cs="Times New Roman"/>
          <w:i/>
          <w:iCs/>
          <w:sz w:val="24"/>
          <w:szCs w:val="24"/>
        </w:rPr>
        <w:t xml:space="preserve"> необходимо отменить </w:t>
      </w:r>
      <w:r w:rsidR="00D2528A" w:rsidRPr="00D2528A">
        <w:rPr>
          <w:rFonts w:ascii="Times New Roman" w:hAnsi="Times New Roman" w:cs="Times New Roman"/>
          <w:i/>
          <w:iCs/>
          <w:sz w:val="24"/>
          <w:szCs w:val="24"/>
        </w:rPr>
        <w:t>обязательное одобрение российскими организациями,  уполномоченными на классификацию и освидетельствования судов, материалов и изделий, применяемых при ремонте судов.</w:t>
      </w:r>
      <w:r w:rsidR="00D2528A">
        <w:rPr>
          <w:rFonts w:ascii="Times New Roman" w:hAnsi="Times New Roman" w:cs="Times New Roman"/>
          <w:sz w:val="24"/>
          <w:szCs w:val="24"/>
        </w:rPr>
        <w:t xml:space="preserve"> </w:t>
      </w:r>
      <w:r w:rsidR="00D2528A">
        <w:rPr>
          <w:rFonts w:ascii="Times New Roman" w:hAnsi="Times New Roman" w:cs="Times New Roman"/>
          <w:i/>
          <w:iCs/>
          <w:sz w:val="24"/>
          <w:szCs w:val="24"/>
        </w:rPr>
        <w:t xml:space="preserve"> </w:t>
      </w:r>
      <w:r w:rsidR="00C11D27">
        <w:rPr>
          <w:rFonts w:ascii="Times New Roman" w:hAnsi="Times New Roman" w:cs="Times New Roman"/>
          <w:i/>
          <w:iCs/>
          <w:sz w:val="24"/>
          <w:szCs w:val="24"/>
        </w:rPr>
        <w:t xml:space="preserve"> </w:t>
      </w:r>
    </w:p>
    <w:p w14:paraId="1A2EF68D" w14:textId="77777777" w:rsidR="00C11D27" w:rsidRPr="00C11D27" w:rsidRDefault="00C11D27" w:rsidP="00C11D27">
      <w:pPr>
        <w:pStyle w:val="a3"/>
        <w:rPr>
          <w:rFonts w:ascii="Times New Roman" w:hAnsi="Times New Roman" w:cs="Times New Roman"/>
          <w:sz w:val="24"/>
          <w:szCs w:val="24"/>
        </w:rPr>
      </w:pPr>
    </w:p>
    <w:p w14:paraId="3D38490C" w14:textId="5880F2DC" w:rsidR="00182392" w:rsidRDefault="00182392" w:rsidP="00182392">
      <w:pPr>
        <w:pStyle w:val="a3"/>
        <w:numPr>
          <w:ilvl w:val="0"/>
          <w:numId w:val="8"/>
        </w:numPr>
        <w:spacing w:before="240"/>
        <w:jc w:val="both"/>
        <w:rPr>
          <w:rFonts w:ascii="Times New Roman" w:hAnsi="Times New Roman" w:cs="Times New Roman"/>
          <w:sz w:val="24"/>
          <w:szCs w:val="24"/>
        </w:rPr>
      </w:pPr>
      <w:r>
        <w:rPr>
          <w:rFonts w:ascii="Times New Roman" w:hAnsi="Times New Roman" w:cs="Times New Roman"/>
          <w:sz w:val="24"/>
          <w:szCs w:val="24"/>
        </w:rPr>
        <w:t xml:space="preserve">Освобождение </w:t>
      </w:r>
      <w:r w:rsidR="00EC6930">
        <w:rPr>
          <w:rFonts w:ascii="Times New Roman" w:hAnsi="Times New Roman" w:cs="Times New Roman"/>
          <w:sz w:val="24"/>
          <w:szCs w:val="24"/>
        </w:rPr>
        <w:t xml:space="preserve">эксплуатирующих суда-бункеровщики </w:t>
      </w:r>
      <w:r>
        <w:rPr>
          <w:rFonts w:ascii="Times New Roman" w:hAnsi="Times New Roman" w:cs="Times New Roman"/>
          <w:sz w:val="24"/>
          <w:szCs w:val="24"/>
        </w:rPr>
        <w:t>судоходных компаний от уплаты таможенных и налоговых платежей по аналогии с РМРС (создание аналогичного реестра судов-бункеровщиков).</w:t>
      </w:r>
    </w:p>
    <w:p w14:paraId="33572787" w14:textId="64997D37" w:rsidR="00182392" w:rsidRPr="00EC6930" w:rsidRDefault="00182392" w:rsidP="00EC6930">
      <w:pPr>
        <w:pStyle w:val="a3"/>
        <w:spacing w:before="240"/>
        <w:ind w:left="1211"/>
        <w:jc w:val="both"/>
        <w:rPr>
          <w:rFonts w:ascii="Times New Roman" w:hAnsi="Times New Roman" w:cs="Times New Roman"/>
          <w:i/>
          <w:iCs/>
          <w:sz w:val="24"/>
          <w:szCs w:val="24"/>
        </w:rPr>
      </w:pPr>
      <w:r w:rsidRPr="00EC6930">
        <w:rPr>
          <w:rFonts w:ascii="Times New Roman" w:hAnsi="Times New Roman" w:cs="Times New Roman"/>
          <w:i/>
          <w:iCs/>
          <w:sz w:val="24"/>
          <w:szCs w:val="24"/>
          <w:u w:val="single"/>
        </w:rPr>
        <w:t>Примечание</w:t>
      </w:r>
      <w:r w:rsidRPr="00EC6930">
        <w:rPr>
          <w:rFonts w:ascii="Times New Roman" w:hAnsi="Times New Roman" w:cs="Times New Roman"/>
          <w:i/>
          <w:iCs/>
          <w:sz w:val="24"/>
          <w:szCs w:val="24"/>
        </w:rPr>
        <w:t xml:space="preserve">: В целях уменьшения себестоимости услуг по бункеровке возможно рассмотреть освобождение </w:t>
      </w:r>
      <w:r w:rsidR="00EC6930" w:rsidRPr="00EC6930">
        <w:rPr>
          <w:rFonts w:ascii="Times New Roman" w:hAnsi="Times New Roman" w:cs="Times New Roman"/>
          <w:i/>
          <w:iCs/>
          <w:sz w:val="24"/>
          <w:szCs w:val="24"/>
        </w:rPr>
        <w:t>оперирующих судами-бункеровщиками</w:t>
      </w:r>
      <w:r w:rsidR="00EC6930">
        <w:rPr>
          <w:rFonts w:ascii="Times New Roman" w:hAnsi="Times New Roman" w:cs="Times New Roman"/>
          <w:sz w:val="24"/>
          <w:szCs w:val="24"/>
        </w:rPr>
        <w:t xml:space="preserve"> </w:t>
      </w:r>
      <w:r w:rsidRPr="00EC6930">
        <w:rPr>
          <w:rFonts w:ascii="Times New Roman" w:hAnsi="Times New Roman" w:cs="Times New Roman"/>
          <w:i/>
          <w:iCs/>
          <w:sz w:val="24"/>
          <w:szCs w:val="24"/>
        </w:rPr>
        <w:t>судоходных компаний от уплаты таможенных и налоговых платежей в отношении судов-бункеровщиков по аналогии с судами, внесенными в Российский морской регистр судоходства (далее - РМРС).</w:t>
      </w:r>
    </w:p>
    <w:p w14:paraId="5CDF98CD" w14:textId="72EB2E91" w:rsidR="00182392" w:rsidRPr="00EC6930" w:rsidRDefault="00182392" w:rsidP="00EB79C2">
      <w:pPr>
        <w:spacing w:before="240"/>
        <w:ind w:left="1211"/>
        <w:jc w:val="both"/>
        <w:rPr>
          <w:rFonts w:ascii="Times New Roman" w:hAnsi="Times New Roman" w:cs="Times New Roman"/>
          <w:i/>
          <w:iCs/>
          <w:sz w:val="24"/>
          <w:szCs w:val="24"/>
        </w:rPr>
      </w:pPr>
      <w:r w:rsidRPr="00EC6930">
        <w:rPr>
          <w:rFonts w:ascii="Times New Roman" w:hAnsi="Times New Roman" w:cs="Times New Roman"/>
          <w:i/>
          <w:iCs/>
          <w:sz w:val="24"/>
          <w:szCs w:val="24"/>
        </w:rPr>
        <w:t>На данный момент, регистрация судов в РМРС предоставляет судовладельцу право</w:t>
      </w:r>
      <w:r w:rsidR="00EB79C2">
        <w:rPr>
          <w:rFonts w:ascii="Times New Roman" w:hAnsi="Times New Roman" w:cs="Times New Roman"/>
          <w:i/>
          <w:iCs/>
          <w:sz w:val="24"/>
          <w:szCs w:val="24"/>
        </w:rPr>
        <w:t xml:space="preserve">: </w:t>
      </w:r>
      <w:r w:rsidRPr="00EC6930">
        <w:rPr>
          <w:rFonts w:ascii="Times New Roman" w:hAnsi="Times New Roman" w:cs="Times New Roman"/>
          <w:i/>
          <w:iCs/>
          <w:sz w:val="24"/>
          <w:szCs w:val="24"/>
        </w:rPr>
        <w:t>- на использование таможенных и налоговых льгот: - освобождение от уплаты таможенных платежей (пошлины и НДС) при ввозе судна на таможенную территорию ЕАЭС;- освобождение от уплаты транспортного налога;- освобождение от уплаты налога на имущество; - освобождение от уплаты страховых взносов в ФСС и ПФР;</w:t>
      </w:r>
      <w:r w:rsidR="00EB79C2">
        <w:rPr>
          <w:rFonts w:ascii="Times New Roman" w:hAnsi="Times New Roman" w:cs="Times New Roman"/>
          <w:i/>
          <w:iCs/>
          <w:sz w:val="24"/>
          <w:szCs w:val="24"/>
        </w:rPr>
        <w:t xml:space="preserve">        </w:t>
      </w:r>
      <w:r w:rsidRPr="00EC6930">
        <w:rPr>
          <w:rFonts w:ascii="Times New Roman" w:hAnsi="Times New Roman" w:cs="Times New Roman"/>
          <w:i/>
          <w:iCs/>
          <w:sz w:val="24"/>
          <w:szCs w:val="24"/>
        </w:rPr>
        <w:t>- освобождение от уплаты налога на прибыль доходов, полученных при осуществлении международных перевозок грузов (сдаче судна в аренду для осуществления таких перевозок).</w:t>
      </w:r>
    </w:p>
    <w:p w14:paraId="08F5E8A9" w14:textId="5DD6974B" w:rsidR="00182392" w:rsidRPr="00EC6930" w:rsidRDefault="00182392" w:rsidP="00EC6930">
      <w:pPr>
        <w:spacing w:before="240"/>
        <w:ind w:left="1211"/>
        <w:jc w:val="both"/>
        <w:rPr>
          <w:rFonts w:ascii="Times New Roman" w:hAnsi="Times New Roman" w:cs="Times New Roman"/>
          <w:i/>
          <w:iCs/>
          <w:sz w:val="24"/>
          <w:szCs w:val="24"/>
        </w:rPr>
      </w:pPr>
      <w:r w:rsidRPr="00EC6930">
        <w:rPr>
          <w:rFonts w:ascii="Times New Roman" w:hAnsi="Times New Roman" w:cs="Times New Roman"/>
          <w:i/>
          <w:iCs/>
          <w:sz w:val="24"/>
          <w:szCs w:val="24"/>
        </w:rPr>
        <w:t xml:space="preserve">Представляется, что если такие льготы будут предоставлены судовладельцам, </w:t>
      </w:r>
      <w:r w:rsidR="00EC6930">
        <w:rPr>
          <w:rFonts w:ascii="Times New Roman" w:hAnsi="Times New Roman" w:cs="Times New Roman"/>
          <w:i/>
          <w:iCs/>
          <w:sz w:val="24"/>
          <w:szCs w:val="24"/>
        </w:rPr>
        <w:t>эксплуатирующим</w:t>
      </w:r>
      <w:r w:rsidRPr="00EC6930">
        <w:rPr>
          <w:rFonts w:ascii="Times New Roman" w:hAnsi="Times New Roman" w:cs="Times New Roman"/>
          <w:i/>
          <w:iCs/>
          <w:sz w:val="24"/>
          <w:szCs w:val="24"/>
        </w:rPr>
        <w:t xml:space="preserve"> суда-бункеровщик</w:t>
      </w:r>
      <w:r w:rsidR="00EC6930">
        <w:rPr>
          <w:rFonts w:ascii="Times New Roman" w:hAnsi="Times New Roman" w:cs="Times New Roman"/>
          <w:i/>
          <w:iCs/>
          <w:sz w:val="24"/>
          <w:szCs w:val="24"/>
        </w:rPr>
        <w:t>и</w:t>
      </w:r>
      <w:r w:rsidRPr="00EC6930">
        <w:rPr>
          <w:rFonts w:ascii="Times New Roman" w:hAnsi="Times New Roman" w:cs="Times New Roman"/>
          <w:i/>
          <w:iCs/>
          <w:sz w:val="24"/>
          <w:szCs w:val="24"/>
        </w:rPr>
        <w:t xml:space="preserve">, то данное обстоятельство будет являться позитивным с точки зрения поддержания участников </w:t>
      </w:r>
      <w:r w:rsidR="00EC6930">
        <w:rPr>
          <w:rFonts w:ascii="Times New Roman" w:hAnsi="Times New Roman" w:cs="Times New Roman"/>
          <w:i/>
          <w:iCs/>
          <w:sz w:val="24"/>
          <w:szCs w:val="24"/>
        </w:rPr>
        <w:t>рынка бункеровки судов.</w:t>
      </w:r>
    </w:p>
    <w:p w14:paraId="40B39149" w14:textId="77777777" w:rsidR="00182392" w:rsidRPr="00580F60" w:rsidRDefault="00182392" w:rsidP="00182392">
      <w:pPr>
        <w:rPr>
          <w:rFonts w:ascii="Times New Roman" w:hAnsi="Times New Roman" w:cs="Times New Roman"/>
          <w:sz w:val="28"/>
          <w:szCs w:val="28"/>
        </w:rPr>
      </w:pPr>
    </w:p>
    <w:sectPr w:rsidR="00182392" w:rsidRPr="00580F60" w:rsidSect="005F4696">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EF519" w14:textId="77777777" w:rsidR="00BE20CE" w:rsidRDefault="00BE20CE" w:rsidP="009D7ABE">
      <w:pPr>
        <w:spacing w:after="0" w:line="240" w:lineRule="auto"/>
      </w:pPr>
      <w:r>
        <w:separator/>
      </w:r>
    </w:p>
  </w:endnote>
  <w:endnote w:type="continuationSeparator" w:id="0">
    <w:p w14:paraId="5876A973" w14:textId="77777777" w:rsidR="00BE20CE" w:rsidRDefault="00BE20CE" w:rsidP="009D7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890362"/>
      <w:docPartObj>
        <w:docPartGallery w:val="Page Numbers (Bottom of Page)"/>
        <w:docPartUnique/>
      </w:docPartObj>
    </w:sdtPr>
    <w:sdtEndPr/>
    <w:sdtContent>
      <w:p w14:paraId="14A6D3D5" w14:textId="6A2636DF" w:rsidR="009D7ABE" w:rsidRDefault="009D7ABE">
        <w:pPr>
          <w:pStyle w:val="a8"/>
          <w:jc w:val="center"/>
        </w:pPr>
        <w:r>
          <w:fldChar w:fldCharType="begin"/>
        </w:r>
        <w:r>
          <w:instrText>PAGE   \* MERGEFORMAT</w:instrText>
        </w:r>
        <w:r>
          <w:fldChar w:fldCharType="separate"/>
        </w:r>
        <w:r>
          <w:t>2</w:t>
        </w:r>
        <w:r>
          <w:fldChar w:fldCharType="end"/>
        </w:r>
      </w:p>
    </w:sdtContent>
  </w:sdt>
  <w:p w14:paraId="2DD0677B" w14:textId="77777777" w:rsidR="009D7ABE" w:rsidRDefault="009D7AB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C11AD" w14:textId="77777777" w:rsidR="00BE20CE" w:rsidRDefault="00BE20CE" w:rsidP="009D7ABE">
      <w:pPr>
        <w:spacing w:after="0" w:line="240" w:lineRule="auto"/>
      </w:pPr>
      <w:r>
        <w:separator/>
      </w:r>
    </w:p>
  </w:footnote>
  <w:footnote w:type="continuationSeparator" w:id="0">
    <w:p w14:paraId="6815E884" w14:textId="77777777" w:rsidR="00BE20CE" w:rsidRDefault="00BE20CE" w:rsidP="009D7A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9DD"/>
    <w:multiLevelType w:val="multilevel"/>
    <w:tmpl w:val="D39EC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6E20F3"/>
    <w:multiLevelType w:val="multilevel"/>
    <w:tmpl w:val="5EA0B2F8"/>
    <w:lvl w:ilvl="0">
      <w:start w:val="4"/>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ABC2DCC"/>
    <w:multiLevelType w:val="hybridMultilevel"/>
    <w:tmpl w:val="FE76C320"/>
    <w:lvl w:ilvl="0" w:tplc="5E985C42">
      <w:start w:val="1"/>
      <w:numFmt w:val="decimal"/>
      <w:lvlText w:val="%1)"/>
      <w:lvlJc w:val="left"/>
      <w:pPr>
        <w:ind w:left="1211" w:hanging="360"/>
      </w:pPr>
      <w:rPr>
        <w:rFonts w:hint="default"/>
        <w:b/>
        <w:bCs/>
        <w:i w:val="0"/>
        <w:iCs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493F3C6D"/>
    <w:multiLevelType w:val="multilevel"/>
    <w:tmpl w:val="DA00C802"/>
    <w:lvl w:ilvl="0">
      <w:start w:val="1"/>
      <w:numFmt w:val="decimal"/>
      <w:lvlText w:val="%1."/>
      <w:lvlJc w:val="left"/>
      <w:pPr>
        <w:ind w:left="720" w:hanging="360"/>
      </w:pPr>
      <w:rPr>
        <w:sz w:val="28"/>
        <w:szCs w:val="28"/>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 w15:restartNumberingAfterBreak="0">
    <w:nsid w:val="4A1120BA"/>
    <w:multiLevelType w:val="multilevel"/>
    <w:tmpl w:val="BF243AE6"/>
    <w:lvl w:ilvl="0">
      <w:start w:val="1"/>
      <w:numFmt w:val="decimal"/>
      <w:lvlText w:val="%1."/>
      <w:lvlJc w:val="left"/>
      <w:pPr>
        <w:ind w:left="360" w:hanging="360"/>
      </w:pPr>
    </w:lvl>
    <w:lvl w:ilvl="1">
      <w:start w:val="2"/>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5FA90F9F"/>
    <w:multiLevelType w:val="multilevel"/>
    <w:tmpl w:val="04FC711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6" w15:restartNumberingAfterBreak="0">
    <w:nsid w:val="6DA17F16"/>
    <w:multiLevelType w:val="multilevel"/>
    <w:tmpl w:val="BE3EE7C0"/>
    <w:lvl w:ilvl="0">
      <w:start w:val="3"/>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6E4B021F"/>
    <w:multiLevelType w:val="multilevel"/>
    <w:tmpl w:val="5E3EF36A"/>
    <w:lvl w:ilvl="0">
      <w:start w:val="4"/>
      <w:numFmt w:val="decimal"/>
      <w:lvlText w:val="%1."/>
      <w:lvlJc w:val="left"/>
      <w:pPr>
        <w:ind w:left="360" w:hanging="360"/>
      </w:pPr>
    </w:lvl>
    <w:lvl w:ilvl="1">
      <w:start w:val="2"/>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5"/>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C45"/>
    <w:rsid w:val="000002AF"/>
    <w:rsid w:val="000078F4"/>
    <w:rsid w:val="00007A30"/>
    <w:rsid w:val="00012062"/>
    <w:rsid w:val="00012DBB"/>
    <w:rsid w:val="00014AA7"/>
    <w:rsid w:val="00032CA6"/>
    <w:rsid w:val="0003571F"/>
    <w:rsid w:val="000450F9"/>
    <w:rsid w:val="00056D49"/>
    <w:rsid w:val="0007519B"/>
    <w:rsid w:val="000841C1"/>
    <w:rsid w:val="00084EFA"/>
    <w:rsid w:val="00085D2E"/>
    <w:rsid w:val="00092777"/>
    <w:rsid w:val="00092B2F"/>
    <w:rsid w:val="000A1157"/>
    <w:rsid w:val="000B3DB6"/>
    <w:rsid w:val="000B557E"/>
    <w:rsid w:val="000C0585"/>
    <w:rsid w:val="000C78EB"/>
    <w:rsid w:val="000E21C3"/>
    <w:rsid w:val="001006B8"/>
    <w:rsid w:val="00101170"/>
    <w:rsid w:val="0010175B"/>
    <w:rsid w:val="00105567"/>
    <w:rsid w:val="00107D60"/>
    <w:rsid w:val="0012069B"/>
    <w:rsid w:val="00125D3F"/>
    <w:rsid w:val="001334D1"/>
    <w:rsid w:val="00135E68"/>
    <w:rsid w:val="0014118C"/>
    <w:rsid w:val="00157BBF"/>
    <w:rsid w:val="00165D08"/>
    <w:rsid w:val="00166157"/>
    <w:rsid w:val="00167ED3"/>
    <w:rsid w:val="00177ED5"/>
    <w:rsid w:val="00182392"/>
    <w:rsid w:val="0018427F"/>
    <w:rsid w:val="0019326A"/>
    <w:rsid w:val="00193A3F"/>
    <w:rsid w:val="0019575F"/>
    <w:rsid w:val="0019678C"/>
    <w:rsid w:val="001971D2"/>
    <w:rsid w:val="0019748D"/>
    <w:rsid w:val="001C3010"/>
    <w:rsid w:val="001C4E33"/>
    <w:rsid w:val="001C5C14"/>
    <w:rsid w:val="001D5004"/>
    <w:rsid w:val="001E355D"/>
    <w:rsid w:val="001F6249"/>
    <w:rsid w:val="00210C24"/>
    <w:rsid w:val="00222AC3"/>
    <w:rsid w:val="002274AA"/>
    <w:rsid w:val="002628FC"/>
    <w:rsid w:val="00263652"/>
    <w:rsid w:val="002724DD"/>
    <w:rsid w:val="0028269B"/>
    <w:rsid w:val="002854B5"/>
    <w:rsid w:val="0028745F"/>
    <w:rsid w:val="00290F9A"/>
    <w:rsid w:val="00296B4C"/>
    <w:rsid w:val="00297180"/>
    <w:rsid w:val="00297B99"/>
    <w:rsid w:val="002A2247"/>
    <w:rsid w:val="002A228B"/>
    <w:rsid w:val="002A2FDE"/>
    <w:rsid w:val="002B5A1D"/>
    <w:rsid w:val="002C72B9"/>
    <w:rsid w:val="002E0037"/>
    <w:rsid w:val="002E23DD"/>
    <w:rsid w:val="002E35B7"/>
    <w:rsid w:val="002F3632"/>
    <w:rsid w:val="0030292D"/>
    <w:rsid w:val="00313A74"/>
    <w:rsid w:val="00314341"/>
    <w:rsid w:val="003323B9"/>
    <w:rsid w:val="003362E6"/>
    <w:rsid w:val="003470FB"/>
    <w:rsid w:val="00350166"/>
    <w:rsid w:val="00364362"/>
    <w:rsid w:val="0037665F"/>
    <w:rsid w:val="0037719D"/>
    <w:rsid w:val="00387AA6"/>
    <w:rsid w:val="00392B5D"/>
    <w:rsid w:val="003A7D37"/>
    <w:rsid w:val="003C3D33"/>
    <w:rsid w:val="003C40C9"/>
    <w:rsid w:val="003C5C79"/>
    <w:rsid w:val="003E09E1"/>
    <w:rsid w:val="003E38A9"/>
    <w:rsid w:val="003F3294"/>
    <w:rsid w:val="003F4423"/>
    <w:rsid w:val="003F6041"/>
    <w:rsid w:val="00404B8F"/>
    <w:rsid w:val="00405236"/>
    <w:rsid w:val="00412B69"/>
    <w:rsid w:val="00413C26"/>
    <w:rsid w:val="00417A37"/>
    <w:rsid w:val="00421683"/>
    <w:rsid w:val="00434A9D"/>
    <w:rsid w:val="00441F4C"/>
    <w:rsid w:val="00454597"/>
    <w:rsid w:val="004556E0"/>
    <w:rsid w:val="00456807"/>
    <w:rsid w:val="0045693B"/>
    <w:rsid w:val="00461590"/>
    <w:rsid w:val="00467244"/>
    <w:rsid w:val="004722C2"/>
    <w:rsid w:val="00472C23"/>
    <w:rsid w:val="0049699B"/>
    <w:rsid w:val="004A24C1"/>
    <w:rsid w:val="004A6F9A"/>
    <w:rsid w:val="004B219B"/>
    <w:rsid w:val="004C1CD2"/>
    <w:rsid w:val="004C4007"/>
    <w:rsid w:val="004D2F08"/>
    <w:rsid w:val="004D6479"/>
    <w:rsid w:val="004E0DCF"/>
    <w:rsid w:val="004F516B"/>
    <w:rsid w:val="0050578B"/>
    <w:rsid w:val="00505810"/>
    <w:rsid w:val="00515A90"/>
    <w:rsid w:val="00521AF8"/>
    <w:rsid w:val="00531EE7"/>
    <w:rsid w:val="00540812"/>
    <w:rsid w:val="0055209F"/>
    <w:rsid w:val="00553063"/>
    <w:rsid w:val="005579AC"/>
    <w:rsid w:val="00563E9E"/>
    <w:rsid w:val="005661B4"/>
    <w:rsid w:val="00580F60"/>
    <w:rsid w:val="005A22F2"/>
    <w:rsid w:val="005A3DD5"/>
    <w:rsid w:val="005A7A5C"/>
    <w:rsid w:val="005B2B7B"/>
    <w:rsid w:val="005B2BE6"/>
    <w:rsid w:val="005D12EC"/>
    <w:rsid w:val="005D7077"/>
    <w:rsid w:val="005E19A4"/>
    <w:rsid w:val="005F13D7"/>
    <w:rsid w:val="005F4696"/>
    <w:rsid w:val="0060392A"/>
    <w:rsid w:val="006067E2"/>
    <w:rsid w:val="00611667"/>
    <w:rsid w:val="0061419A"/>
    <w:rsid w:val="00615FA6"/>
    <w:rsid w:val="0062675A"/>
    <w:rsid w:val="0063295A"/>
    <w:rsid w:val="00633508"/>
    <w:rsid w:val="00635901"/>
    <w:rsid w:val="00650FEC"/>
    <w:rsid w:val="006527AB"/>
    <w:rsid w:val="00676861"/>
    <w:rsid w:val="0068213D"/>
    <w:rsid w:val="00682469"/>
    <w:rsid w:val="006826D5"/>
    <w:rsid w:val="006A0D8C"/>
    <w:rsid w:val="006A3AA8"/>
    <w:rsid w:val="006C0585"/>
    <w:rsid w:val="006C43F2"/>
    <w:rsid w:val="006C56CB"/>
    <w:rsid w:val="006D3A6B"/>
    <w:rsid w:val="006D415E"/>
    <w:rsid w:val="006F3C91"/>
    <w:rsid w:val="006F4F4A"/>
    <w:rsid w:val="0070040B"/>
    <w:rsid w:val="00710E58"/>
    <w:rsid w:val="007369CC"/>
    <w:rsid w:val="00745361"/>
    <w:rsid w:val="00745A14"/>
    <w:rsid w:val="007527B6"/>
    <w:rsid w:val="007527CF"/>
    <w:rsid w:val="00754529"/>
    <w:rsid w:val="007566F0"/>
    <w:rsid w:val="007600FE"/>
    <w:rsid w:val="00760B71"/>
    <w:rsid w:val="00760DBB"/>
    <w:rsid w:val="007657CB"/>
    <w:rsid w:val="00775AC0"/>
    <w:rsid w:val="00777171"/>
    <w:rsid w:val="00791087"/>
    <w:rsid w:val="0079608A"/>
    <w:rsid w:val="007A5C9A"/>
    <w:rsid w:val="007B13A9"/>
    <w:rsid w:val="007D70FF"/>
    <w:rsid w:val="007E0442"/>
    <w:rsid w:val="007E246C"/>
    <w:rsid w:val="007E2650"/>
    <w:rsid w:val="007E27D2"/>
    <w:rsid w:val="007F28B9"/>
    <w:rsid w:val="00801BC2"/>
    <w:rsid w:val="00824ECE"/>
    <w:rsid w:val="00842DAD"/>
    <w:rsid w:val="008444E4"/>
    <w:rsid w:val="00861270"/>
    <w:rsid w:val="00861630"/>
    <w:rsid w:val="00863DA2"/>
    <w:rsid w:val="00871E9A"/>
    <w:rsid w:val="00884716"/>
    <w:rsid w:val="008944C4"/>
    <w:rsid w:val="008A0FB4"/>
    <w:rsid w:val="008B129B"/>
    <w:rsid w:val="008C0714"/>
    <w:rsid w:val="008D1B19"/>
    <w:rsid w:val="008D480C"/>
    <w:rsid w:val="008D4A41"/>
    <w:rsid w:val="008D5A41"/>
    <w:rsid w:val="008E6277"/>
    <w:rsid w:val="008F0312"/>
    <w:rsid w:val="008F065F"/>
    <w:rsid w:val="008F7364"/>
    <w:rsid w:val="00900BDB"/>
    <w:rsid w:val="00903D1F"/>
    <w:rsid w:val="00905606"/>
    <w:rsid w:val="009056CD"/>
    <w:rsid w:val="00906403"/>
    <w:rsid w:val="00930934"/>
    <w:rsid w:val="00932033"/>
    <w:rsid w:val="00935C45"/>
    <w:rsid w:val="00942008"/>
    <w:rsid w:val="00947493"/>
    <w:rsid w:val="00960604"/>
    <w:rsid w:val="00963E98"/>
    <w:rsid w:val="00967AD9"/>
    <w:rsid w:val="00973F23"/>
    <w:rsid w:val="00977793"/>
    <w:rsid w:val="00990894"/>
    <w:rsid w:val="00992524"/>
    <w:rsid w:val="009966A4"/>
    <w:rsid w:val="00996881"/>
    <w:rsid w:val="009A0ED9"/>
    <w:rsid w:val="009A33DC"/>
    <w:rsid w:val="009A79A0"/>
    <w:rsid w:val="009C361A"/>
    <w:rsid w:val="009C5EB5"/>
    <w:rsid w:val="009D438C"/>
    <w:rsid w:val="009D7ABE"/>
    <w:rsid w:val="009E11E5"/>
    <w:rsid w:val="009E1DEA"/>
    <w:rsid w:val="009E3A9C"/>
    <w:rsid w:val="009E4362"/>
    <w:rsid w:val="009E436F"/>
    <w:rsid w:val="009F207E"/>
    <w:rsid w:val="009F3C88"/>
    <w:rsid w:val="009F784D"/>
    <w:rsid w:val="00A0284F"/>
    <w:rsid w:val="00A033FD"/>
    <w:rsid w:val="00A204F0"/>
    <w:rsid w:val="00A2647D"/>
    <w:rsid w:val="00A3042C"/>
    <w:rsid w:val="00A351F9"/>
    <w:rsid w:val="00A3551D"/>
    <w:rsid w:val="00A369F3"/>
    <w:rsid w:val="00A63B46"/>
    <w:rsid w:val="00A708D5"/>
    <w:rsid w:val="00A7366B"/>
    <w:rsid w:val="00A77FF2"/>
    <w:rsid w:val="00A80E8E"/>
    <w:rsid w:val="00A857F2"/>
    <w:rsid w:val="00A917C4"/>
    <w:rsid w:val="00AA7EC8"/>
    <w:rsid w:val="00AB21C4"/>
    <w:rsid w:val="00AB30E6"/>
    <w:rsid w:val="00AB3300"/>
    <w:rsid w:val="00AB7B5A"/>
    <w:rsid w:val="00AD63F8"/>
    <w:rsid w:val="00B02452"/>
    <w:rsid w:val="00B03E05"/>
    <w:rsid w:val="00B10765"/>
    <w:rsid w:val="00B14576"/>
    <w:rsid w:val="00B17093"/>
    <w:rsid w:val="00B20E12"/>
    <w:rsid w:val="00B24A92"/>
    <w:rsid w:val="00B27282"/>
    <w:rsid w:val="00B3479F"/>
    <w:rsid w:val="00B35DE4"/>
    <w:rsid w:val="00B4261A"/>
    <w:rsid w:val="00B445AA"/>
    <w:rsid w:val="00B44D13"/>
    <w:rsid w:val="00B54039"/>
    <w:rsid w:val="00B5795B"/>
    <w:rsid w:val="00B634D6"/>
    <w:rsid w:val="00B74DA8"/>
    <w:rsid w:val="00B76B60"/>
    <w:rsid w:val="00B863F2"/>
    <w:rsid w:val="00B9019C"/>
    <w:rsid w:val="00B979A3"/>
    <w:rsid w:val="00BC3B12"/>
    <w:rsid w:val="00BD6322"/>
    <w:rsid w:val="00BE20CE"/>
    <w:rsid w:val="00BF0B20"/>
    <w:rsid w:val="00BF47EC"/>
    <w:rsid w:val="00BF53FD"/>
    <w:rsid w:val="00BF7304"/>
    <w:rsid w:val="00C01022"/>
    <w:rsid w:val="00C05169"/>
    <w:rsid w:val="00C05F10"/>
    <w:rsid w:val="00C11D27"/>
    <w:rsid w:val="00C17244"/>
    <w:rsid w:val="00C2059E"/>
    <w:rsid w:val="00C648DC"/>
    <w:rsid w:val="00C65E9A"/>
    <w:rsid w:val="00C73AED"/>
    <w:rsid w:val="00C7731E"/>
    <w:rsid w:val="00CA2F98"/>
    <w:rsid w:val="00CB1EFD"/>
    <w:rsid w:val="00CE3025"/>
    <w:rsid w:val="00CF129C"/>
    <w:rsid w:val="00CF648D"/>
    <w:rsid w:val="00D01BEE"/>
    <w:rsid w:val="00D01DE9"/>
    <w:rsid w:val="00D12FBB"/>
    <w:rsid w:val="00D16EF4"/>
    <w:rsid w:val="00D23514"/>
    <w:rsid w:val="00D2528A"/>
    <w:rsid w:val="00D35D03"/>
    <w:rsid w:val="00D4251C"/>
    <w:rsid w:val="00D568DF"/>
    <w:rsid w:val="00D84190"/>
    <w:rsid w:val="00D84851"/>
    <w:rsid w:val="00D9126C"/>
    <w:rsid w:val="00DA4890"/>
    <w:rsid w:val="00DA4B6A"/>
    <w:rsid w:val="00DA7C2A"/>
    <w:rsid w:val="00DC100A"/>
    <w:rsid w:val="00DC3969"/>
    <w:rsid w:val="00DD40AE"/>
    <w:rsid w:val="00DE65A2"/>
    <w:rsid w:val="00DE7B99"/>
    <w:rsid w:val="00DF6C06"/>
    <w:rsid w:val="00E00FBB"/>
    <w:rsid w:val="00E06195"/>
    <w:rsid w:val="00E131EB"/>
    <w:rsid w:val="00E13C99"/>
    <w:rsid w:val="00E14D9E"/>
    <w:rsid w:val="00E1523E"/>
    <w:rsid w:val="00E24474"/>
    <w:rsid w:val="00E263B3"/>
    <w:rsid w:val="00E27662"/>
    <w:rsid w:val="00E43897"/>
    <w:rsid w:val="00E4441B"/>
    <w:rsid w:val="00E4556C"/>
    <w:rsid w:val="00E54A64"/>
    <w:rsid w:val="00E658C2"/>
    <w:rsid w:val="00E86E7D"/>
    <w:rsid w:val="00E92353"/>
    <w:rsid w:val="00EA44FC"/>
    <w:rsid w:val="00EA5FC3"/>
    <w:rsid w:val="00EB79C2"/>
    <w:rsid w:val="00EC03EF"/>
    <w:rsid w:val="00EC5A57"/>
    <w:rsid w:val="00EC5ED8"/>
    <w:rsid w:val="00EC6930"/>
    <w:rsid w:val="00ED2CEB"/>
    <w:rsid w:val="00EE3E5B"/>
    <w:rsid w:val="00F1451B"/>
    <w:rsid w:val="00F232B9"/>
    <w:rsid w:val="00F23608"/>
    <w:rsid w:val="00F43829"/>
    <w:rsid w:val="00F7452B"/>
    <w:rsid w:val="00FA32E9"/>
    <w:rsid w:val="00FB4FAB"/>
    <w:rsid w:val="00FC035F"/>
    <w:rsid w:val="00FD654F"/>
    <w:rsid w:val="00FF2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0C88B"/>
  <w15:docId w15:val="{EC9E8A20-18BF-48CD-8480-054F2C05F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4696"/>
    <w:pPr>
      <w:ind w:left="720"/>
      <w:contextualSpacing/>
    </w:pPr>
  </w:style>
  <w:style w:type="character" w:styleId="a4">
    <w:name w:val="Strong"/>
    <w:basedOn w:val="a0"/>
    <w:uiPriority w:val="22"/>
    <w:qFormat/>
    <w:rsid w:val="00125D3F"/>
    <w:rPr>
      <w:b/>
      <w:bCs/>
    </w:rPr>
  </w:style>
  <w:style w:type="paragraph" w:customStyle="1" w:styleId="228bf8a64b8551e1msonormal">
    <w:name w:val="228bf8a64b8551e1msonormal"/>
    <w:basedOn w:val="a"/>
    <w:rsid w:val="00871E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871E9A"/>
    <w:rPr>
      <w:color w:val="0000FF"/>
      <w:u w:val="single"/>
    </w:rPr>
  </w:style>
  <w:style w:type="paragraph" w:styleId="a6">
    <w:name w:val="header"/>
    <w:basedOn w:val="a"/>
    <w:link w:val="a7"/>
    <w:uiPriority w:val="99"/>
    <w:unhideWhenUsed/>
    <w:rsid w:val="009D7AB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D7ABE"/>
  </w:style>
  <w:style w:type="paragraph" w:styleId="a8">
    <w:name w:val="footer"/>
    <w:basedOn w:val="a"/>
    <w:link w:val="a9"/>
    <w:uiPriority w:val="99"/>
    <w:unhideWhenUsed/>
    <w:rsid w:val="009D7AB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D7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76315">
      <w:bodyDiv w:val="1"/>
      <w:marLeft w:val="0"/>
      <w:marRight w:val="0"/>
      <w:marTop w:val="0"/>
      <w:marBottom w:val="0"/>
      <w:divBdr>
        <w:top w:val="none" w:sz="0" w:space="0" w:color="auto"/>
        <w:left w:val="none" w:sz="0" w:space="0" w:color="auto"/>
        <w:bottom w:val="none" w:sz="0" w:space="0" w:color="auto"/>
        <w:right w:val="none" w:sz="0" w:space="0" w:color="auto"/>
      </w:divBdr>
      <w:divsChild>
        <w:div w:id="2001736688">
          <w:marLeft w:val="0"/>
          <w:marRight w:val="0"/>
          <w:marTop w:val="0"/>
          <w:marBottom w:val="0"/>
          <w:divBdr>
            <w:top w:val="none" w:sz="0" w:space="0" w:color="auto"/>
            <w:left w:val="none" w:sz="0" w:space="0" w:color="auto"/>
            <w:bottom w:val="none" w:sz="0" w:space="0" w:color="auto"/>
            <w:right w:val="none" w:sz="0" w:space="0" w:color="auto"/>
          </w:divBdr>
        </w:div>
        <w:div w:id="1801877156">
          <w:marLeft w:val="0"/>
          <w:marRight w:val="0"/>
          <w:marTop w:val="0"/>
          <w:marBottom w:val="0"/>
          <w:divBdr>
            <w:top w:val="none" w:sz="0" w:space="0" w:color="auto"/>
            <w:left w:val="none" w:sz="0" w:space="0" w:color="auto"/>
            <w:bottom w:val="none" w:sz="0" w:space="0" w:color="auto"/>
            <w:right w:val="none" w:sz="0" w:space="0" w:color="auto"/>
          </w:divBdr>
        </w:div>
      </w:divsChild>
    </w:div>
    <w:div w:id="252056730">
      <w:bodyDiv w:val="1"/>
      <w:marLeft w:val="0"/>
      <w:marRight w:val="0"/>
      <w:marTop w:val="0"/>
      <w:marBottom w:val="0"/>
      <w:divBdr>
        <w:top w:val="none" w:sz="0" w:space="0" w:color="auto"/>
        <w:left w:val="none" w:sz="0" w:space="0" w:color="auto"/>
        <w:bottom w:val="none" w:sz="0" w:space="0" w:color="auto"/>
        <w:right w:val="none" w:sz="0" w:space="0" w:color="auto"/>
      </w:divBdr>
    </w:div>
    <w:div w:id="1552571088">
      <w:bodyDiv w:val="1"/>
      <w:marLeft w:val="0"/>
      <w:marRight w:val="0"/>
      <w:marTop w:val="0"/>
      <w:marBottom w:val="0"/>
      <w:divBdr>
        <w:top w:val="none" w:sz="0" w:space="0" w:color="auto"/>
        <w:left w:val="none" w:sz="0" w:space="0" w:color="auto"/>
        <w:bottom w:val="none" w:sz="0" w:space="0" w:color="auto"/>
        <w:right w:val="none" w:sz="0" w:space="0" w:color="auto"/>
      </w:divBdr>
      <w:divsChild>
        <w:div w:id="1378890625">
          <w:marLeft w:val="0"/>
          <w:marRight w:val="0"/>
          <w:marTop w:val="0"/>
          <w:marBottom w:val="160"/>
          <w:divBdr>
            <w:top w:val="none" w:sz="0" w:space="0" w:color="auto"/>
            <w:left w:val="none" w:sz="0" w:space="0" w:color="auto"/>
            <w:bottom w:val="none" w:sz="0" w:space="0" w:color="auto"/>
            <w:right w:val="none" w:sz="0" w:space="0" w:color="auto"/>
          </w:divBdr>
        </w:div>
        <w:div w:id="2036812186">
          <w:marLeft w:val="0"/>
          <w:marRight w:val="0"/>
          <w:marTop w:val="0"/>
          <w:marBottom w:val="160"/>
          <w:divBdr>
            <w:top w:val="none" w:sz="0" w:space="0" w:color="auto"/>
            <w:left w:val="none" w:sz="0" w:space="0" w:color="auto"/>
            <w:bottom w:val="none" w:sz="0" w:space="0" w:color="auto"/>
            <w:right w:val="none" w:sz="0" w:space="0" w:color="auto"/>
          </w:divBdr>
        </w:div>
        <w:div w:id="916472752">
          <w:marLeft w:val="0"/>
          <w:marRight w:val="0"/>
          <w:marTop w:val="0"/>
          <w:marBottom w:val="160"/>
          <w:divBdr>
            <w:top w:val="none" w:sz="0" w:space="0" w:color="auto"/>
            <w:left w:val="none" w:sz="0" w:space="0" w:color="auto"/>
            <w:bottom w:val="none" w:sz="0" w:space="0" w:color="auto"/>
            <w:right w:val="none" w:sz="0" w:space="0" w:color="auto"/>
          </w:divBdr>
        </w:div>
      </w:divsChild>
    </w:div>
    <w:div w:id="1569069045">
      <w:bodyDiv w:val="1"/>
      <w:marLeft w:val="0"/>
      <w:marRight w:val="0"/>
      <w:marTop w:val="0"/>
      <w:marBottom w:val="0"/>
      <w:divBdr>
        <w:top w:val="none" w:sz="0" w:space="0" w:color="auto"/>
        <w:left w:val="none" w:sz="0" w:space="0" w:color="auto"/>
        <w:bottom w:val="none" w:sz="0" w:space="0" w:color="auto"/>
        <w:right w:val="none" w:sz="0" w:space="0" w:color="auto"/>
      </w:divBdr>
      <w:divsChild>
        <w:div w:id="52044319">
          <w:marLeft w:val="0"/>
          <w:marRight w:val="0"/>
          <w:marTop w:val="0"/>
          <w:marBottom w:val="0"/>
          <w:divBdr>
            <w:top w:val="none" w:sz="0" w:space="0" w:color="auto"/>
            <w:left w:val="none" w:sz="0" w:space="0" w:color="auto"/>
            <w:bottom w:val="none" w:sz="0" w:space="0" w:color="auto"/>
            <w:right w:val="none" w:sz="0" w:space="0" w:color="auto"/>
          </w:divBdr>
        </w:div>
        <w:div w:id="612980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hipandbunker.com/news/apac/190227-china-bonded-lsfo-monthly-export-data-shows-ri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3688</Words>
  <Characters>21024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Ольга Богачева</cp:lastModifiedBy>
  <cp:revision>2</cp:revision>
  <dcterms:created xsi:type="dcterms:W3CDTF">2022-04-01T03:59:00Z</dcterms:created>
  <dcterms:modified xsi:type="dcterms:W3CDTF">2022-04-01T03:59:00Z</dcterms:modified>
</cp:coreProperties>
</file>